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000" w:firstRow="0" w:lastRow="0" w:firstColumn="0" w:lastColumn="0" w:noHBand="0" w:noVBand="0"/>
      </w:tblPr>
      <w:tblGrid>
        <w:gridCol w:w="3261"/>
        <w:gridCol w:w="5953"/>
      </w:tblGrid>
      <w:tr>
        <w:trPr>
          <w:trHeight w:val="872"/>
        </w:trPr>
        <w:tc>
          <w:tcPr>
            <w:tcW w:w="3261" w:type="dxa"/>
          </w:tcPr>
          <w:p>
            <w:pPr>
              <w:spacing w:after="0" w:line="240" w:lineRule="auto"/>
              <w:jc w:val="center"/>
              <w:rPr>
                <w:rFonts w:ascii="Times New Roman" w:hAnsi="Times New Roman"/>
                <w:b/>
                <w:sz w:val="26"/>
                <w:szCs w:val="26"/>
                <w:lang w:val="nl-NL"/>
              </w:rPr>
            </w:pPr>
            <w:bookmarkStart w:id="0" w:name="_GoBack"/>
            <w:bookmarkEnd w:id="0"/>
            <w:r>
              <w:rPr>
                <w:rFonts w:ascii="Times New Roman" w:hAnsi="Times New Roman"/>
                <w:sz w:val="28"/>
                <w:szCs w:val="26"/>
              </w:rPr>
              <w:br w:type="page"/>
            </w:r>
            <w:r>
              <w:rPr>
                <w:rFonts w:ascii="Times New Roman" w:hAnsi="Times New Roman"/>
                <w:b/>
                <w:sz w:val="26"/>
                <w:szCs w:val="26"/>
                <w:lang w:val="nl-NL"/>
              </w:rPr>
              <w:t>ỦY BAN NHÂN DÂN</w:t>
            </w:r>
          </w:p>
          <w:p>
            <w:pPr>
              <w:spacing w:after="0" w:line="240" w:lineRule="auto"/>
              <w:jc w:val="center"/>
              <w:rPr>
                <w:rFonts w:ascii="Times New Roman" w:hAnsi="Times New Roman"/>
                <w:b/>
                <w:sz w:val="26"/>
                <w:szCs w:val="26"/>
                <w:lang w:val="nl-NL"/>
              </w:rPr>
            </w:pPr>
            <w:r>
              <w:rPr>
                <w:rFonts w:ascii="Times New Roman" w:hAnsi="Times New Roman"/>
                <w:b/>
                <w:sz w:val="26"/>
                <w:szCs w:val="26"/>
                <w:lang w:val="nl-NL"/>
              </w:rPr>
              <w:t>TỈNH HÀ TĨNH</w:t>
            </w:r>
          </w:p>
          <w:p>
            <w:pPr>
              <w:spacing w:after="0" w:line="240" w:lineRule="auto"/>
              <w:rPr>
                <w:rFonts w:ascii="Times New Roman" w:hAnsi="Times New Roman"/>
                <w:sz w:val="28"/>
                <w:szCs w:val="26"/>
                <w:lang w:val="nl-NL"/>
              </w:rPr>
            </w:pPr>
            <w:r>
              <w:rPr>
                <w:rFonts w:ascii="Times New Roman" w:hAnsi="Times New Roman"/>
                <w:noProof/>
                <w:sz w:val="28"/>
                <w:szCs w:val="26"/>
              </w:rPr>
              <mc:AlternateContent>
                <mc:Choice Requires="wps">
                  <w:drawing>
                    <wp:anchor distT="4294967295" distB="4294967295" distL="114300" distR="114300" simplePos="0" relativeHeight="251659264" behindDoc="0" locked="0" layoutInCell="1" allowOverlap="1">
                      <wp:simplePos x="0" y="0"/>
                      <wp:positionH relativeFrom="column">
                        <wp:posOffset>665798</wp:posOffset>
                      </wp:positionH>
                      <wp:positionV relativeFrom="paragraph">
                        <wp:posOffset>27940</wp:posOffset>
                      </wp:positionV>
                      <wp:extent cx="569401"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EDA7A"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2.2pt" to="97.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"/>
                  </w:pict>
                </mc:Fallback>
              </mc:AlternateContent>
            </w:r>
          </w:p>
        </w:tc>
        <w:tc>
          <w:tcPr>
            <w:tcW w:w="5953" w:type="dxa"/>
          </w:tcPr>
          <w:p>
            <w:pPr>
              <w:spacing w:after="0" w:line="240" w:lineRule="auto"/>
              <w:jc w:val="center"/>
              <w:rPr>
                <w:rFonts w:ascii="Times New Roman" w:eastAsia="SimSun" w:hAnsi="Times New Roman"/>
                <w:b/>
                <w:bCs/>
                <w:spacing w:val="-4"/>
                <w:sz w:val="26"/>
                <w:szCs w:val="26"/>
                <w:lang w:val="nl-NL"/>
              </w:rPr>
            </w:pPr>
            <w:r>
              <w:rPr>
                <w:rFonts w:ascii="Times New Roman" w:eastAsia="SimSun" w:hAnsi="Times New Roman"/>
                <w:b/>
                <w:bCs/>
                <w:spacing w:val="-4"/>
                <w:sz w:val="26"/>
                <w:szCs w:val="26"/>
                <w:lang w:val="nl-NL"/>
              </w:rPr>
              <w:t>CỘNG HÒA XÃ HỘI CHỦ NGHĨA VIỆT NAM</w:t>
            </w:r>
          </w:p>
          <w:p>
            <w:pPr>
              <w:spacing w:after="0" w:line="240" w:lineRule="auto"/>
              <w:jc w:val="center"/>
              <w:rPr>
                <w:rFonts w:ascii="Times New Roman" w:eastAsia="SimSun" w:hAnsi="Times New Roman"/>
                <w:b/>
                <w:bCs/>
                <w:spacing w:val="-4"/>
                <w:sz w:val="28"/>
                <w:szCs w:val="26"/>
                <w:lang w:val="nl-NL"/>
              </w:rPr>
            </w:pPr>
            <w:r>
              <w:rPr>
                <w:rFonts w:ascii="Times New Roman" w:eastAsia="SimSun" w:hAnsi="Times New Roman"/>
                <w:b/>
                <w:bCs/>
                <w:spacing w:val="-4"/>
                <w:sz w:val="28"/>
                <w:szCs w:val="26"/>
                <w:lang w:val="nl-NL"/>
              </w:rPr>
              <w:t>Độc lập - Tự do - Hạnh phúc</w:t>
            </w:r>
          </w:p>
          <w:p>
            <w:pPr>
              <w:spacing w:after="0" w:line="240" w:lineRule="auto"/>
              <w:jc w:val="center"/>
              <w:rPr>
                <w:rFonts w:ascii="Times New Roman" w:eastAsia="SimSun" w:hAnsi="Times New Roman"/>
                <w:b/>
                <w:bCs/>
                <w:spacing w:val="-4"/>
                <w:sz w:val="28"/>
                <w:szCs w:val="26"/>
                <w:lang w:val="nl-NL"/>
              </w:rPr>
            </w:pPr>
            <w:r>
              <w:rPr>
                <w:rFonts w:ascii="Times New Roman" w:eastAsia="SimSun" w:hAnsi="Times New Roman"/>
                <w:b/>
                <w:bCs/>
                <w:noProof/>
                <w:spacing w:val="-4"/>
                <w:sz w:val="28"/>
                <w:szCs w:val="26"/>
              </w:rPr>
              <mc:AlternateContent>
                <mc:Choice Requires="wps">
                  <w:drawing>
                    <wp:anchor distT="4294967295" distB="4294967295" distL="114300" distR="114300" simplePos="0" relativeHeight="251660288" behindDoc="0" locked="0" layoutInCell="1" allowOverlap="1">
                      <wp:simplePos x="0" y="0"/>
                      <wp:positionH relativeFrom="column">
                        <wp:posOffset>788670</wp:posOffset>
                      </wp:positionH>
                      <wp:positionV relativeFrom="paragraph">
                        <wp:posOffset>29845</wp:posOffset>
                      </wp:positionV>
                      <wp:extent cx="2062163"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26753"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2.35pt" to="2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"/>
                  </w:pict>
                </mc:Fallback>
              </mc:AlternateContent>
            </w:r>
          </w:p>
        </w:tc>
      </w:tr>
    </w:tbl>
    <w:p>
      <w:pPr>
        <w:spacing w:after="0" w:line="240" w:lineRule="auto"/>
        <w:jc w:val="center"/>
        <w:rPr>
          <w:rFonts w:ascii="Times New Roman" w:hAnsi="Times New Roman"/>
          <w:b/>
          <w:sz w:val="28"/>
          <w:szCs w:val="28"/>
        </w:rPr>
      </w:pPr>
      <w:r>
        <w:rPr>
          <w:rFonts w:ascii="Times New Roman" w:hAnsi="Times New Roman"/>
          <w:b/>
          <w:sz w:val="28"/>
          <w:szCs w:val="28"/>
        </w:rPr>
        <w:t>Phụ lục 1A</w:t>
      </w:r>
    </w:p>
    <w:p>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 xml:space="preserve">DANH MỤC THỦ TỤC HÀNH CHÍNH ĐỦ ĐIỀU KIỆN </w:t>
      </w:r>
    </w:p>
    <w:p>
      <w:pPr>
        <w:spacing w:after="0" w:line="240" w:lineRule="auto"/>
        <w:jc w:val="center"/>
        <w:rPr>
          <w:rFonts w:ascii="Times New Roman" w:hAnsi="Times New Roman"/>
          <w:b/>
          <w:bCs/>
          <w:sz w:val="26"/>
          <w:szCs w:val="26"/>
        </w:rPr>
      </w:pPr>
      <w:r>
        <w:rPr>
          <w:rFonts w:ascii="Times New Roman" w:hAnsi="Times New Roman"/>
          <w:b/>
          <w:bCs/>
          <w:color w:val="000000"/>
          <w:sz w:val="26"/>
          <w:szCs w:val="26"/>
        </w:rPr>
        <w:t xml:space="preserve">TRIỂN KHAI </w:t>
      </w:r>
      <w:r>
        <w:rPr>
          <w:rFonts w:ascii="Times New Roman" w:hAnsi="Times New Roman"/>
          <w:b/>
          <w:bCs/>
          <w:sz w:val="26"/>
          <w:szCs w:val="26"/>
        </w:rPr>
        <w:t xml:space="preserve">DỊCH VỤ CÔNG TRỰC TUYẾN TOÀN TRÌNH THEO </w:t>
      </w:r>
    </w:p>
    <w:p>
      <w:pPr>
        <w:spacing w:after="0" w:line="240" w:lineRule="auto"/>
        <w:jc w:val="center"/>
        <w:rPr>
          <w:rFonts w:ascii="Times New Roman" w:hAnsi="Times New Roman"/>
          <w:b/>
          <w:bCs/>
          <w:color w:val="000000"/>
          <w:sz w:val="26"/>
          <w:szCs w:val="26"/>
        </w:rPr>
      </w:pPr>
      <w:r>
        <w:rPr>
          <w:rFonts w:ascii="Times New Roman" w:hAnsi="Times New Roman"/>
          <w:b/>
          <w:bCs/>
          <w:sz w:val="26"/>
          <w:szCs w:val="26"/>
        </w:rPr>
        <w:t xml:space="preserve">NGHỊ ĐỊNH SỐ 42/2022/NĐ-CP, </w:t>
      </w:r>
      <w:r>
        <w:rPr>
          <w:rFonts w:ascii="Times New Roman" w:hAnsi="Times New Roman"/>
          <w:b/>
          <w:bCs/>
          <w:color w:val="000000"/>
          <w:sz w:val="26"/>
          <w:szCs w:val="26"/>
        </w:rPr>
        <w:t>TẠI CẤP TỈNH</w:t>
      </w:r>
    </w:p>
    <w:p>
      <w:pPr>
        <w:spacing w:after="0" w:line="240" w:lineRule="auto"/>
        <w:ind w:left="57" w:right="57"/>
        <w:jc w:val="center"/>
        <w:rPr>
          <w:rFonts w:ascii="Times New Roman" w:hAnsi="Times New Roman"/>
          <w:bCs/>
          <w:i/>
          <w:sz w:val="28"/>
          <w:szCs w:val="28"/>
        </w:rPr>
      </w:pPr>
      <w:r>
        <w:rPr>
          <w:rFonts w:ascii="Times New Roman" w:hAnsi="Times New Roman"/>
          <w:bCs/>
          <w:i/>
          <w:sz w:val="28"/>
          <w:szCs w:val="28"/>
        </w:rPr>
        <w:t>(Ban hành kèm theo Quyết định số:           /QĐ-UBND ngày       /7/2023</w:t>
      </w:r>
    </w:p>
    <w:p>
      <w:pPr>
        <w:spacing w:after="0" w:line="240" w:lineRule="auto"/>
        <w:ind w:left="57" w:right="57"/>
        <w:jc w:val="center"/>
        <w:rPr>
          <w:rFonts w:ascii="Times New Roman" w:hAnsi="Times New Roman"/>
          <w:bCs/>
          <w:i/>
          <w:sz w:val="28"/>
          <w:szCs w:val="28"/>
        </w:rPr>
      </w:pPr>
      <w:r>
        <w:rPr>
          <w:rFonts w:ascii="Times New Roman" w:hAnsi="Times New Roman"/>
          <w:bCs/>
          <w:i/>
          <w:sz w:val="28"/>
          <w:szCs w:val="28"/>
        </w:rPr>
        <w:t>của Chủ tịch UBND tỉnh Hà Tĩnh)</w:t>
      </w:r>
    </w:p>
    <w:p>
      <w:pPr>
        <w:spacing w:after="0" w:line="240" w:lineRule="auto"/>
        <w:rPr>
          <w:rFonts w:ascii="Times New Roman" w:hAnsi="Times New Roman"/>
          <w:bCs/>
          <w:sz w:val="28"/>
          <w:szCs w:val="28"/>
        </w:rPr>
      </w:pP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simplePos x="0" y="0"/>
                <wp:positionH relativeFrom="margin">
                  <wp:posOffset>2116455</wp:posOffset>
                </wp:positionH>
                <wp:positionV relativeFrom="paragraph">
                  <wp:posOffset>36830</wp:posOffset>
                </wp:positionV>
                <wp:extent cx="1887682"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6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C13B2F" id="_x0000_t32" coordsize="21600,21600" o:spt="32" o:oned="t" path="m,l21600,21600e" filled="f">
                <v:path arrowok="t" fillok="f" o:connecttype="none"/>
                <o:lock v:ext="edit" shapetype="t"/>
              </v:shapetype>
              <v:shape id="Straight Arrow Connector 5" o:spid="_x0000_s1026" type="#_x0000_t32" style="position:absolute;margin-left:166.65pt;margin-top:2.9pt;width:148.6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qIuAEAAFYDAAAOAAAAZHJzL2Uyb0RvYy54bWysU8Fu2zAMvQ/YPwi6L44DtMu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">
                <w10:wrap anchorx="margin"/>
              </v:shape>
            </w:pict>
          </mc:Fallback>
        </mc:AlternateContent>
      </w:r>
    </w:p>
    <w:p>
      <w:pPr>
        <w:spacing w:after="0" w:line="240" w:lineRule="auto"/>
        <w:ind w:left="57" w:right="57"/>
        <w:jc w:val="both"/>
        <w:rPr>
          <w:rFonts w:ascii="Times New Roman" w:hAnsi="Times New Roman"/>
          <w:bCs/>
          <w:color w:val="0070C0"/>
          <w:sz w:val="28"/>
          <w:szCs w:val="28"/>
        </w:rPr>
      </w:pPr>
      <w:r>
        <w:rPr>
          <w:rFonts w:ascii="Times New Roman" w:hAnsi="Times New Roman"/>
          <w:bCs/>
          <w:sz w:val="28"/>
          <w:szCs w:val="28"/>
        </w:rPr>
        <w:tab/>
        <w:t xml:space="preserve">Tổng số TTHC đủ điều kiện triển khai dịch vụ công trực tuyến toàn trình: </w:t>
      </w:r>
      <w:r>
        <w:rPr>
          <w:rFonts w:ascii="Times New Roman" w:hAnsi="Times New Roman"/>
          <w:b/>
          <w:bCs/>
          <w:sz w:val="28"/>
          <w:szCs w:val="28"/>
        </w:rPr>
        <w:t xml:space="preserve">375 </w:t>
      </w:r>
      <w:r>
        <w:rPr>
          <w:rFonts w:ascii="Times New Roman" w:hAnsi="Times New Roman"/>
          <w:bCs/>
          <w:color w:val="0070C0"/>
          <w:sz w:val="28"/>
          <w:szCs w:val="28"/>
        </w:rPr>
        <w:t xml:space="preserve"> </w:t>
      </w:r>
    </w:p>
    <w:p>
      <w:pPr>
        <w:spacing w:after="0" w:line="240" w:lineRule="auto"/>
        <w:ind w:left="57" w:right="57" w:firstLine="720"/>
        <w:jc w:val="both"/>
        <w:rPr>
          <w:rFonts w:ascii="Times New Roman" w:hAnsi="Times New Roman"/>
          <w:bCs/>
          <w:color w:val="0070C0"/>
          <w:sz w:val="28"/>
          <w:szCs w:val="28"/>
        </w:rPr>
      </w:pPr>
    </w:p>
    <w:tbl>
      <w:tblPr>
        <w:tblW w:w="10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5466"/>
        <w:gridCol w:w="2693"/>
        <w:gridCol w:w="960"/>
      </w:tblGrid>
      <w:tr>
        <w:trPr>
          <w:cantSplit/>
          <w:trHeight w:hRule="exact" w:val="762"/>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STT</w:t>
            </w:r>
          </w:p>
        </w:tc>
        <w:tc>
          <w:tcPr>
            <w:tcW w:w="5466" w:type="dxa"/>
            <w:shd w:val="clear" w:color="auto" w:fill="auto"/>
            <w:vAlign w:val="center"/>
          </w:tcPr>
          <w:p>
            <w:pPr>
              <w:spacing w:before="20" w:after="20" w:line="240" w:lineRule="auto"/>
              <w:ind w:left="57" w:right="57" w:firstLine="76"/>
              <w:jc w:val="center"/>
              <w:rPr>
                <w:rFonts w:ascii="Times New Roman" w:hAnsi="Times New Roman"/>
                <w:b/>
                <w:bCs/>
                <w:sz w:val="26"/>
                <w:szCs w:val="26"/>
              </w:rPr>
            </w:pPr>
            <w:r>
              <w:rPr>
                <w:rFonts w:ascii="Times New Roman" w:hAnsi="Times New Roman"/>
                <w:b/>
                <w:bCs/>
                <w:sz w:val="26"/>
                <w:szCs w:val="26"/>
              </w:rPr>
              <w:t>Tên thủ tục hành chính/DVCTT</w:t>
            </w:r>
          </w:p>
        </w:tc>
        <w:tc>
          <w:tcPr>
            <w:tcW w:w="2693" w:type="dxa"/>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Lĩnh vực</w:t>
            </w:r>
          </w:p>
        </w:tc>
        <w:tc>
          <w:tcPr>
            <w:tcW w:w="960"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Ghi chú</w:t>
            </w: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I</w:t>
            </w: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b/>
                <w:sz w:val="26"/>
                <w:szCs w:val="26"/>
              </w:rPr>
              <w:t>SỞ CÔNG THƯƠNG</w:t>
            </w:r>
          </w:p>
        </w:tc>
        <w:tc>
          <w:tcPr>
            <w:tcW w:w="2693" w:type="dxa"/>
            <w:vAlign w:val="center"/>
          </w:tcPr>
          <w:p>
            <w:pPr>
              <w:spacing w:before="20" w:after="20" w:line="240" w:lineRule="auto"/>
              <w:ind w:left="57" w:right="57"/>
              <w:jc w:val="center"/>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32</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Cấp Giấy phép hoạt động tư vấn chuyên ngành điện thuộc thẩm quyền cấp của địa phương</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Điện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Giấy phép hoạt động bán lẻ điện đến cấp điện áp 0,4 KV tại địa phương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Điện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Đăng ký thực hiện khuyến mại theo hình thức mang tính may rủi trên địa bàn 01 tỉnh, thành phố trực thuộc Trung ương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Xúc tiến thương mại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Đăng ký sửa đổi, bổ sung nội dung chương trình khuyến mại theo hình thức mang tính may rủi trên địa bàn 01 tỉnh, thành phố trực thuộc Trung ương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Xúc tiến thương mại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Thông báo thực hiện chương trình khuyến mại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Xúc tiến thương mại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Đăng ký tổ chức hội chợ, triển lãm thương mại tại Việt Nam</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Xúc tiến thương mại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Đăng ký sửa đổi, bổ sung nội dung đăng ký tổ chức hội chợ, triển lãm thương mại tại Việt Nam</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Xúc tiến thương mại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Thông báo sửa đổi, bổ sung nội dung Chương trình khuyến mại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Xúc tiến thương mại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Đăng ký dấu nghiệp vụ giám định thương mại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Giám định thương mại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giấy phép bán buôn thuốc lá</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Lưu thông hàng hóa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sửa đổi, bổ sung Giấy phép sản xuất rượu công nghiệp (quy mô dưới 3 triệu lít/năm)</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Lưu thông hàng hóa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Giấy phép bán buôn rượu trên địa bàn tỉnh, thành phố trực thuộc Trung ương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Lưu thông hàng hóa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Giấy xác nhận đủ điều kiện làm đại lý bán lẻ xăng dầu</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Lưu thông hàng hóa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Giấy chứng nhận cửa hàng đủ điều kiện bán lẻ xăng dầu</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Lưu thông hàng hóa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sửa đổi, bổ sung Giấy chứng nhận cửa hàng đủ điều kiện bán lẻ xăng dầu</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Lưu thông hàng hóa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lại Giấy chứng nhận cửa hàng đủ điều kiện bán lẻ xăng dầu</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Lưu thông hàng hóa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Đăng ký hoạt động bán hàng đa cấp tại địa phương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Quản lý cạnh tranh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Thông báo tổ chức hội nghị, hội thảo, đào tạo về bán hàng đa cấp</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Quản lý cạnh tranh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Giấy chứng nhận đủ điều kiện thương nhân kinh doanh mua bán LPG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kinh doanh Khí</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Giấy chứng nhận đủ điều kiện an toàn thực phẩm đối với cơ sở sản xuất, kinh doanh thực phẩm do Sở Công Thương thực hiện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An toàn thực phẩm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Cấp lại Giấy chứng nhận đủ điều kiện an toàn thực phẩm đối với cơ sở sản xuất, kinh doanh thực phẩm do Sở Công Thương thực hiện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sz w:val="26"/>
                <w:szCs w:val="26"/>
              </w:rPr>
              <w:t>An toàn thực phẩm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Cấp Giấy phép thành lập Văn phòng đại diện của thương nhân nước ngoài tại Hà Tĩnh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sz w:val="26"/>
                <w:szCs w:val="26"/>
              </w:rPr>
              <w:t>Thương mại quốc tế</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Cấp giấy phép sản xuất rượu công nghiệp (quy mô dưới 3 triệu lít/năm)</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sz w:val="26"/>
                <w:szCs w:val="26"/>
              </w:rPr>
              <w:t>Lưu thông hàng hóa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Cấp lại giấy xác nhận đủ điều kiện làm đại lý bán lẻ xăng dầu</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sz w:val="26"/>
                <w:szCs w:val="26"/>
              </w:rPr>
              <w:t>Lưu thông hàng hóa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Cấp sửa đổi, bổ sung Giấy xác nhận đủ điều kiện làm đại lý bán lẻ xăng dầu</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sz w:val="26"/>
                <w:szCs w:val="26"/>
              </w:rPr>
              <w:t>Lưu thông hàng hóa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Đăng ký, đăng ký lại hợp đồng mẫu, điều kiện giao dịch chung thuộc thẩm quyền của Sở Công Thương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sz w:val="26"/>
                <w:szCs w:val="26"/>
              </w:rPr>
              <w:t>Quản lý cạnh tranh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Đăng ký sửa đổi, bổ sung hoạt động bán hàng đa cấp tại địa phương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sz w:val="26"/>
                <w:szCs w:val="26"/>
              </w:rPr>
              <w:t>Quản lý cạnh tranh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Chấm dứt hoạt động bán hàng đa cấp tại địa phương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sz w:val="26"/>
                <w:szCs w:val="26"/>
              </w:rPr>
              <w:t>Quản lý cạnh tranh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Cấp giấy chứng nhận đủ điều kiện trạm nạp LPG vào chai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sz w:val="26"/>
                <w:szCs w:val="26"/>
              </w:rPr>
              <w:t>Kinh doanh khí</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Cấp lại Giấy chứng nhận đủ điều kiện trạm nạp LPG vào chai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sz w:val="26"/>
                <w:szCs w:val="26"/>
              </w:rPr>
              <w:t>Lĩnh vực Kinh doanh khí</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Cấp điều chỉnh Giấy chứng nhận đủ điều kiện trạm nạp LPG vào chai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sz w:val="26"/>
                <w:szCs w:val="26"/>
              </w:rPr>
              <w:t>Lĩnh vực Kinh doanh khí</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 xml:space="preserve">Cấp lại Giấy chứng nhận đủ điều kiện trạm nạp LPG vào xe bồn </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sz w:val="26"/>
                <w:szCs w:val="26"/>
              </w:rPr>
              <w:t>Kinh doanh khí</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II</w:t>
            </w: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b/>
                <w:sz w:val="26"/>
                <w:szCs w:val="26"/>
              </w:rPr>
              <w:t>SỞ GIÁO DỤC VÀ ĐÀO TẠO</w:t>
            </w:r>
          </w:p>
        </w:tc>
        <w:tc>
          <w:tcPr>
            <w:tcW w:w="2693" w:type="dxa"/>
            <w:vAlign w:val="center"/>
          </w:tcPr>
          <w:p>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18</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bản sao Văn bằng, chứng chỉ từ sổ gốc</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Văn bằng chứng chỉ</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Công nhận bằng tốt nghiệp trung học cơ sở, bằng tốt nghiệp trung học phổ thông, giấy chứng nhận hoàn thành chương trình giáo dục phổ thông do cơ sở giáo dục nước ngoài cấp để sử dụng tại Việt Nam</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Văn bằng chứng chỉ</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Chuyển trường đối với học sinh trung học phổ thông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Giáo dục trung học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Tuyển sinh THPT</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Giáo dục trung học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Xin học lại tại trường khác đối với học sinh trung học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Giáo dục trung học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Sáp nhập, chia tách Trung tâm Ngoại ngữ, Tin học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Giáo dục và Đào tạo thuộc hệ thông quốc dân và cơ sở giáo dục khác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Giải thể Trung tâm Ngoại ngữ, Tin học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Giáo dục và Đào tạo thuộc hệ thông quốc dân và cơ sở giáo dục khác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Cho phép trung tâm ngoại ngữ, tin học hoạt động giáo dục trở lại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Giáo dục và Đào tạo thuộc hệ thông quốc dân và cơ sở giáo dục khác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học bổng và hỗ trợ kinh phí mua phương tiện, đồ dùng học tập dùng riêng cho người khuyết tật học tại các cơ sở giáo dục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Giáo dục và Đào tạo thuộc hệ thống quốc dân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Xét, duyệt chính sách hỗ trợ tiền ăn, ngủ đối với học sinh trung học phổ thông là người dân tộc kinh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Giáo dục và Đào tạo thuộc hệ thống quốc dân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Xét, duyệt chính sách hỗ trợ đối với học sinh trung học phổ thông là người dân tộc thiểu số</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Giáo dục và Đào tạo thuộc hệ thống quốc dân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Hỗ trợ học tập đối với học sinh trung học phổ thông các dân tộc thiểu số rất ít người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Giáo dục và Đào tạo thuộc hệ thống quốc dân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Đề nghị miễn giảm học phí và hỗ trợ chi phí học tập cho học sinh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Giáo dục và Đào tạo thuộc hệ thống quốc dân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Đăng ký thi ứng dụng Công nghệ thông tin cơ bản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Thi, tuyển sinh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Xét, cấp học bổng chính sách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Thi, tuyển sinh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Đăng ký dự thi trung học phổ thông quốc gia</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Thi, tuyển sinh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Đăng ký dự thi cấp chứng chỉ CNTT cấp tỉnh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Thi, tuyển sinh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 xml:space="preserve">Xét tuyển sinh vào trường phổ thông dân tộc nội trú (Xét tuyển sinh vào trường PTDTNT) </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Thi, tuyển sinh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III</w:t>
            </w: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b/>
                <w:sz w:val="26"/>
                <w:szCs w:val="26"/>
              </w:rPr>
              <w:t>SỞ GIAO THÔNG VẬN TẢI</w:t>
            </w:r>
          </w:p>
        </w:tc>
        <w:tc>
          <w:tcPr>
            <w:tcW w:w="2693" w:type="dxa"/>
            <w:vAlign w:val="center"/>
          </w:tcPr>
          <w:p>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44</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color w:val="000000"/>
                <w:sz w:val="26"/>
                <w:szCs w:val="26"/>
              </w:rPr>
              <w:t>Cấp Giấy phép liên vận Việt - Lào cho phương tiện</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Giấy phép liên vận Việt - Lào cho phương tiện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Gia hạn Giấy phép liên vận Lào - Việt và thời gian lưu hành tại Việt Nam cho phương tiện của Lào</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Xác nhận xe thuộc đối tượng không chịu phí sử dụng đường bộ</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Giấy phép liên vận giữa Việt Nam và Campuchia</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Giấy phép liên vận giữa Việt Nam và Campuchia</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Giấy phép vận tải đường bộ quốc tế giữa Việt Nam và Lào</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Giấy phép vận tải đường bộ quốc tế giữa Việt Nam và Lào</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Giấy phép xe tập lái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Giấy phép xe tập lái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Giấy chứng nhận đăng ký, biển số xe máy chuyên dùng lần đầu</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Giấy chứng nhận đăng ký, biển số xe máy chuyên dùng bị mất</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 xml:space="preserve">Sang tên chủ sở hữu xe máy chuyên dùng trong cùng một tỉnh, thành phố </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Giấy chứng nhận giáo viên dạy thực hành lái xe</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Đăng ký xe máy chuyên dùng từ tỉnh, thành phố trực thuộc Trung ương khác chuyển đến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Di chuyển đăng ký xe máy chuyên dùng ở khác tỉnh, thành phố trực thuộc Trung ương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đổi Giấy chứng nhận đăng ký, biển số xe máy chuyên dùng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Giấy chứng nhận thẩm định thiết kế xe cơ giới cải tạo</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Giấy phép kinh doanh vận tải bằng xe ô tô.</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Giấy phép kinh doanh đối với trường hợp Giấy phép bị hư hỏng, hết hạn, bị mất hoặc có sự thay đổi liên quan đến nội dung của Giấy phép</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 xml:space="preserve">Đăng ký khai thác tuyến </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Biển hiệu xe ô tô vận tải khách du lịch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Biển hiệu xe ô tô vận tải khách du lịch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đổi Biển hiệu xe ô tô vận tải khách du lịch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phù hiệu cho xe taxi, xe hợp đồng, xe vận tải hàng hóa bằng công - ten - nơ, xe đầu kéo, xe kinh doanh vận tải hàng hóa, xe kinh doanh vận tải hành khách theo tuyến cố định, xe kinh doanh vận tải bằng xe buýt</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Phù hiệu xe trung chuyển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phù hiệu cho xe taxi, xe hợp đồng, xe vận tải hàng hóa bằng công - ten - nơ, xe đầu kéo, xe kinh doanh vận tải hàng hóa, xe kinh doanh vận tải hành khách theo tuyến cố định, xe kinh doanh vận tải bằng xe buýt</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Phù hiệu xe trung chuyển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Đổi Giấy phép lái xe do ngành Giao thông vận tải cấp</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hyperlink w:anchor="QT_QLHT_04" w:history="1">
              <w:r>
                <w:rPr>
                  <w:rFonts w:ascii="Times New Roman" w:hAnsi="Times New Roman"/>
                  <w:color w:val="000000"/>
                  <w:sz w:val="26"/>
                  <w:szCs w:val="26"/>
                </w:rPr>
                <w:t>Cấp Giấy phép thi công xây dựng công trình thiết yếu trong phạm vi bảo vệ kết cấu hạ tầng giao thông đường tỉnh và quốc lộ đang khai thác được giao quản lý</w:t>
              </w:r>
            </w:hyperlink>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hyperlink w:anchor="QT_QLHT_04" w:history="1">
              <w:r>
                <w:rPr>
                  <w:rFonts w:ascii="Times New Roman" w:hAnsi="Times New Roman"/>
                  <w:color w:val="000000"/>
                  <w:sz w:val="26"/>
                  <w:szCs w:val="26"/>
                </w:rPr>
                <w:t>Cấp phép thi công công trình trên đường bộ đang khai thác</w:t>
              </w:r>
            </w:hyperlink>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hyperlink w:anchor="QT_QLHT_04" w:history="1">
              <w:r>
                <w:rPr>
                  <w:rFonts w:ascii="Times New Roman" w:hAnsi="Times New Roman"/>
                  <w:color w:val="000000"/>
                  <w:sz w:val="26"/>
                  <w:szCs w:val="26"/>
                  <w:lang w:val="vi-VN"/>
                </w:rPr>
                <w:t xml:space="preserve">Cấp </w:t>
              </w:r>
              <w:r>
                <w:rPr>
                  <w:rFonts w:ascii="Times New Roman" w:hAnsi="Times New Roman"/>
                  <w:color w:val="000000"/>
                  <w:sz w:val="26"/>
                  <w:szCs w:val="26"/>
                </w:rPr>
                <w:t>G</w:t>
              </w:r>
              <w:r>
                <w:rPr>
                  <w:rFonts w:ascii="Times New Roman" w:hAnsi="Times New Roman"/>
                  <w:color w:val="000000"/>
                  <w:sz w:val="26"/>
                  <w:szCs w:val="26"/>
                  <w:lang w:val="vi-VN"/>
                </w:rPr>
                <w:t>iấy phép thi công nút giao đấu nối vào đường tỉnh và quốc lộ được giao quản lý</w:t>
              </w:r>
            </w:hyperlink>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bộ</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hyperlink r:id="rId9" w:history="1">
              <w:r>
                <w:rPr>
                  <w:rStyle w:val="Hyperlink"/>
                  <w:rFonts w:ascii="Times New Roman" w:hAnsi="Times New Roman"/>
                  <w:color w:val="000000"/>
                  <w:sz w:val="26"/>
                  <w:szCs w:val="26"/>
                </w:rPr>
                <w:t>Đăng ký phương tiện lần đầu đối với phương tiện chưa khai thác trên đường thủy nội địa</w:t>
              </w:r>
            </w:hyperlink>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thủy nội địa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hyperlink r:id="rId10" w:history="1">
              <w:r>
                <w:rPr>
                  <w:rStyle w:val="Hyperlink"/>
                  <w:rFonts w:ascii="Times New Roman" w:hAnsi="Times New Roman"/>
                  <w:color w:val="000000"/>
                  <w:sz w:val="26"/>
                  <w:szCs w:val="26"/>
                </w:rPr>
                <w:t>Đăng ký phương tiện lần đầu đối với phương tiện đang khai thác trên đường thủy nội địa</w:t>
              </w:r>
            </w:hyperlink>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thủy nội địa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hyperlink r:id="rId11" w:history="1">
              <w:r>
                <w:rPr>
                  <w:rStyle w:val="Hyperlink"/>
                  <w:rFonts w:ascii="Times New Roman" w:hAnsi="Times New Roman"/>
                  <w:color w:val="000000"/>
                  <w:sz w:val="26"/>
                  <w:szCs w:val="26"/>
                </w:rPr>
                <w:t>Đăng ký lại phương tiện trong trường hợp phương tiện thay đổi tên, tính năng kỹ thuật</w:t>
              </w:r>
            </w:hyperlink>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thủy nội địa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hyperlink r:id="rId12" w:history="1">
              <w:r>
                <w:rPr>
                  <w:rStyle w:val="Hyperlink"/>
                  <w:rFonts w:ascii="Times New Roman" w:hAnsi="Times New Roman"/>
                  <w:color w:val="000000"/>
                  <w:sz w:val="26"/>
                  <w:szCs w:val="26"/>
                </w:rPr>
                <w:t>Đăng ký lại phương tiện trong trường hợp chuyển quyền sở hữu phương tiện nhưng không thay đổi cơ quan đăng ký phương tiện</w:t>
              </w:r>
            </w:hyperlink>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thủy nội địa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Đăng ký lại phương tiện trong trường hợp chủ phương tiện thay đổi trụ sở hoặc nơi đăng ký hộ khẩu thường trú của chủ phương tiện sang đơn vị hành chính cấp tỉnh khác.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thủy nội địa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hyperlink r:id="rId13" w:history="1">
              <w:r>
                <w:rPr>
                  <w:rStyle w:val="Hyperlink"/>
                  <w:rFonts w:ascii="Times New Roman" w:hAnsi="Times New Roman"/>
                  <w:color w:val="000000"/>
                  <w:sz w:val="26"/>
                  <w:szCs w:val="26"/>
                </w:rPr>
                <w:t>Đăng ký lại phương tiện trong trường hợp chuyển quyền sở hữu phương tiện đồng thời thay đổi cơ quan đăng ký phương tiện</w:t>
              </w:r>
            </w:hyperlink>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thủy nội địa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Giấy chứng nhận đăng ký phương tiện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thủy nội địa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Xoá Giấy chứng nhận đăng ký phương tiện</w:t>
            </w:r>
          </w:p>
        </w:tc>
        <w:tc>
          <w:tcPr>
            <w:tcW w:w="2693" w:type="dxa"/>
            <w:vAlign w:val="center"/>
          </w:tcPr>
          <w:p>
            <w:pPr>
              <w:spacing w:before="20" w:after="20" w:line="240" w:lineRule="auto"/>
              <w:ind w:left="57" w:right="57"/>
              <w:jc w:val="both"/>
              <w:rPr>
                <w:rFonts w:ascii="Times New Roman" w:hAnsi="Times New Roman"/>
                <w:color w:val="000000"/>
                <w:sz w:val="26"/>
                <w:szCs w:val="26"/>
              </w:rPr>
            </w:pPr>
            <w:r>
              <w:rPr>
                <w:rFonts w:ascii="Times New Roman" w:hAnsi="Times New Roman"/>
                <w:color w:val="000000"/>
                <w:sz w:val="26"/>
                <w:szCs w:val="26"/>
              </w:rPr>
              <w:t>Đường thủy nội địa</w:t>
            </w:r>
          </w:p>
          <w:p>
            <w:pPr>
              <w:spacing w:before="20" w:after="20" w:line="240" w:lineRule="auto"/>
              <w:ind w:left="57" w:right="57"/>
              <w:jc w:val="both"/>
              <w:rPr>
                <w:rFonts w:ascii="Times New Roman" w:hAnsi="Times New Roman"/>
                <w:b/>
                <w:color w:val="000000" w:themeColor="text1"/>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Đăng ký phương tiện hoạt động vui chơi, giải trí dưới nước lần đầu</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thủy nội địa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Đăng ký lại phương tiện hoạt động vui chơi, giải trí dưới nước.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thủy nội địa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Giấy chứng nhận đăng ký phương tiện hoạt động vui chơi, giải trí dưới nước.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thủy nội địa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Xóa đăng ký phương tiện hoạt động vui chơi, giải trí dưới nước.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Đường thủy nội địa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IV</w:t>
            </w: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b/>
                <w:sz w:val="26"/>
                <w:szCs w:val="26"/>
              </w:rPr>
              <w:t>SỞ KẾ HOẠCH VÀ ĐẦU TƯ</w:t>
            </w:r>
          </w:p>
        </w:tc>
        <w:tc>
          <w:tcPr>
            <w:tcW w:w="2693" w:type="dxa"/>
            <w:vAlign w:val="center"/>
          </w:tcPr>
          <w:p>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7</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Lập, phê duyệt kế hoạch thực hiện chương trình, dự án sử dụng vốn ODA, vốn vay ưu đãi, vốn đối ứng hàng năm</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sz w:val="26"/>
                <w:szCs w:val="26"/>
                <w:shd w:val="clear" w:color="auto" w:fill="FFFFFF"/>
              </w:rPr>
              <w:t>Đầu tư bằng nguồn vốn hỗ trợ phát triển chính thức (ODA)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Lập, thẩm định, quyết định phê duyệt văn kiện dự án hỗ trợ kỹ thuật, phi dự án sử dụng vốn ODA không hoàn lại</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sz w:val="26"/>
                <w:szCs w:val="26"/>
                <w:shd w:val="clear" w:color="auto" w:fill="FFFFFF"/>
              </w:rPr>
              <w:t>Đầu tư bằng nguồn vốn hỗ trợ phát triển chính thức (ODA)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Lập, thẩm định, quyết định đầu tư chương trình, dự án đầu tư sử dụng vốn ODA, vốn vay ưu đãi thuộc thẩm quyền của người đứng đầu cơ quan chủ quản</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sz w:val="26"/>
                <w:szCs w:val="26"/>
                <w:shd w:val="clear" w:color="auto" w:fill="FFFFFF"/>
              </w:rPr>
              <w:t>Đầu tư bằng nguồn vốn hỗ trợ phát triển chính thức (ODA)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Lập, phê duyệt kế hoạch tổng thể thực hiện chương trình, dự án sử dụng vốn ODA, vốn vay ưu đãi, vốn đối ứng.</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sz w:val="26"/>
                <w:szCs w:val="26"/>
                <w:shd w:val="clear" w:color="auto" w:fill="FFFFFF"/>
              </w:rPr>
              <w:t>Đầu tư bằng nguồn vốn hỗ trợ phát triển chính thức (ODA)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Ủy ban nhân dân cấp tỉnh</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color w:val="000000" w:themeColor="text1"/>
                <w:sz w:val="26"/>
                <w:szCs w:val="26"/>
              </w:rPr>
              <w:t>Viện trợ không hoàn lại không thuộc hỗ trợ phát triển chính thức của các cơ quan, tổ chức, cá nhân nước ngoài dành cho Viết Nam (NGO)</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Lập, thẩm định, quyết định phê duyệt khoản viện trợ là chương trình, dự án đầu tư sử dụng viện trợ không hoàn lại không thuộc hỗ trợ phát triển chính thức của các cơ quan, tổ chức, cá nhân nước ngoài thuộc thẩm quyền quyết định của Ủy ban nhân dân cấp tỉnh</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color w:val="000000" w:themeColor="text1"/>
                <w:sz w:val="26"/>
                <w:szCs w:val="26"/>
              </w:rPr>
              <w:t>Viện trợ không hoàn lại không thuộc hỗ trợ phát triển chính thức của các cơ quan, tổ chức, cá nhân nước ngoài dành cho Viết Nam (NGO)</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bCs/>
                <w:sz w:val="26"/>
                <w:szCs w:val="26"/>
                <w:lang w:val="vi-VN"/>
              </w:rPr>
              <w:t>Hỗ trợ tư vấn, hướng dẫn hồ sơ, thủ tục chuyển đổi hộ kinh doanh thành doanh nghiệp</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bCs/>
                <w:color w:val="000000" w:themeColor="text1"/>
                <w:sz w:val="26"/>
                <w:szCs w:val="26"/>
              </w:rPr>
              <w:t>Hỗ trợ doanh nghiệp nhỏ và vừa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V</w:t>
            </w: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b/>
                <w:sz w:val="26"/>
                <w:szCs w:val="26"/>
              </w:rPr>
              <w:t>SỞ KHOA HỌC VÀ CÔNG NGHỆ</w:t>
            </w:r>
          </w:p>
        </w:tc>
        <w:tc>
          <w:tcPr>
            <w:tcW w:w="2693" w:type="dxa"/>
            <w:vAlign w:val="center"/>
          </w:tcPr>
          <w:p>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18</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color w:val="000000" w:themeColor="text1"/>
                <w:sz w:val="26"/>
                <w:szCs w:val="26"/>
              </w:rPr>
              <w:t>Thủ tục cấp Giấy chứng nhận đăng ký hoạt động lần đầu cho tổ chức khoa học và công nghệ</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sz w:val="26"/>
                <w:szCs w:val="26"/>
              </w:rPr>
              <w:t>Hoạt động khoa học và công nghệ</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lang w:val="nb-NO"/>
              </w:rPr>
            </w:pPr>
            <w:r>
              <w:rPr>
                <w:rFonts w:ascii="Times New Roman" w:hAnsi="Times New Roman"/>
                <w:sz w:val="26"/>
                <w:szCs w:val="26"/>
                <w:shd w:val="clear" w:color="auto" w:fill="FFFFFF"/>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sz w:val="26"/>
                <w:szCs w:val="26"/>
              </w:rPr>
              <w:t>Hoạt động khoa học và công nghệ</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lang w:val="pt-BR"/>
              </w:rPr>
              <w:t>Thủ tục cấp giấy chứng nhận doanh nghiệp khoa học và công nghệ</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sz w:val="26"/>
                <w:szCs w:val="26"/>
              </w:rPr>
              <w:t>Hoạt động khoa học và công nghệ</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bCs/>
                <w:color w:val="000000" w:themeColor="text1"/>
                <w:sz w:val="26"/>
                <w:szCs w:val="26"/>
                <w:shd w:val="clear" w:color="auto" w:fill="FFFFFF"/>
                <w:lang w:val="nb-NO"/>
              </w:rPr>
              <w:t>Thủ tục cấp thay đổi nội dung, cấp lại Giấy chứng nhận doanh nghiệp khoa học và công nghệ</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sz w:val="26"/>
                <w:szCs w:val="26"/>
              </w:rPr>
              <w:t>Hoạt động khoa học và công nghệ</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tcPr>
          <w:p>
            <w:pPr>
              <w:spacing w:before="20" w:after="20" w:line="240" w:lineRule="auto"/>
              <w:ind w:left="57" w:right="57"/>
              <w:rPr>
                <w:rFonts w:ascii="Times New Roman" w:hAnsi="Times New Roman"/>
                <w:color w:val="000000" w:themeColor="text1"/>
                <w:sz w:val="26"/>
                <w:szCs w:val="26"/>
              </w:rPr>
            </w:pPr>
            <w:r>
              <w:rPr>
                <w:rFonts w:ascii="Times New Roman" w:hAnsi="Times New Roman"/>
                <w:color w:val="000000" w:themeColor="text1"/>
                <w:sz w:val="26"/>
                <w:szCs w:val="26"/>
              </w:rPr>
              <w:t>Thủ tục cấp Giấy chứng nhận đăng ký hợp đồng chuyển giao công nghệ (trừ những trường hợp thuộc thẩm quyền của Bộ Khoa học và Công nghệ)</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sz w:val="26"/>
                <w:szCs w:val="26"/>
              </w:rPr>
              <w:t>Hoạt động khoa học và công nghệ</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tcPr>
          <w:p>
            <w:pPr>
              <w:spacing w:before="20" w:after="20" w:line="240" w:lineRule="auto"/>
              <w:ind w:left="57" w:right="57"/>
              <w:rPr>
                <w:rFonts w:ascii="Times New Roman" w:hAnsi="Times New Roman"/>
                <w:color w:val="000000" w:themeColor="text1"/>
                <w:sz w:val="26"/>
                <w:szCs w:val="26"/>
              </w:rPr>
            </w:pPr>
            <w:r>
              <w:rPr>
                <w:rFonts w:ascii="Times New Roman" w:hAnsi="Times New Roman"/>
                <w:color w:val="000000" w:themeColor="text1"/>
                <w:sz w:val="26"/>
                <w:szCs w:val="26"/>
              </w:rPr>
              <w:t>Thủ tục cấp Giấy chứng nhận đăng ký sửa đổi, bổ sung hợp đồng chuyển giao công nghệ (trừ những trường hợp thuộc thẩm quyền của Bộ Khoa học và Công nghệ)</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sz w:val="26"/>
                <w:szCs w:val="26"/>
              </w:rPr>
              <w:t>Hoạt động khoa học và công nghệ</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Thủ tục khai báo thiết bị X-quang chẩn đoán trong y tế </w:t>
            </w:r>
          </w:p>
        </w:tc>
        <w:tc>
          <w:tcPr>
            <w:tcW w:w="2693" w:type="dxa"/>
            <w:vAlign w:val="center"/>
          </w:tcPr>
          <w:p>
            <w:pPr>
              <w:keepNext/>
              <w:keepLines/>
              <w:spacing w:before="20" w:after="20" w:line="240" w:lineRule="auto"/>
              <w:ind w:left="57" w:right="57"/>
              <w:jc w:val="both"/>
              <w:outlineLvl w:val="1"/>
              <w:rPr>
                <w:rFonts w:ascii="Times New Roman" w:hAnsi="Times New Roman"/>
                <w:color w:val="000000" w:themeColor="text1"/>
                <w:sz w:val="26"/>
                <w:szCs w:val="26"/>
              </w:rPr>
            </w:pPr>
            <w:r>
              <w:rPr>
                <w:rFonts w:ascii="Times New Roman" w:hAnsi="Times New Roman"/>
                <w:bCs/>
                <w:sz w:val="26"/>
                <w:szCs w:val="26"/>
              </w:rPr>
              <w:t>Năng lượng nguyên tử, an toàn bức xạ và hạt nhân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Thủ tục cấp giấy phép tiến hành công việc bức xạ - Sử dụng thiết bị X-quang chẩn đoán trong y tế</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bCs/>
                <w:sz w:val="26"/>
                <w:szCs w:val="26"/>
              </w:rPr>
              <w:t>Năng lượng nguyên tử, an toàn bức xạ và hạt nhân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Thủ tục gia hạn giấy phép tiến hành công việc bức xạ - Sử dụng thiết bị X-quang chẩn đoán trong y tế </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sz w:val="26"/>
                <w:szCs w:val="26"/>
              </w:rPr>
              <w:t>Năng lượng nguyên tử, an toàn bức xạ và hạt nhân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Thủ tục sửa đổi giấy phép tiến hành công việc bức xạ - Sử dụng thiết bị X-quang chẩn đoán trong y tế (8) </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bCs/>
                <w:sz w:val="26"/>
                <w:szCs w:val="26"/>
              </w:rPr>
              <w:t>Năng lượng nguyên tử, an toàn bức xạ và hạt nhân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Thủ tục Bổ sung giấy phép tiến hành công việc bức xạ - Sử dụng thiết bị X-quang chẩn đoán trong y tế </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bCs/>
                <w:sz w:val="26"/>
                <w:szCs w:val="26"/>
              </w:rPr>
              <w:t>Năng lượng nguyên tử, an toàn bức xạ và hạt nhân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Thủ tục cấp lại giấy phép tiến hành công việc bức xạ - Sử dụng thiết bị X-quang chẩn đoán trong y tế </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bCs/>
                <w:sz w:val="26"/>
                <w:szCs w:val="26"/>
              </w:rPr>
              <w:t>Năng lượng nguyên tử, an toàn bức xạ và hạt nhân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Thủ tục cấp chứng chỉ nhân viên bức xạ (đối với người phụ trách an toàn cơ sở X-quang chẩn đoán trong y tế)</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bCs/>
                <w:sz w:val="26"/>
                <w:szCs w:val="26"/>
              </w:rPr>
              <w:t>Năng lượng nguyên tử, an toàn bức xạ và hạt nhân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Thủ tục Đ</w:t>
            </w:r>
            <w:r>
              <w:rPr>
                <w:rFonts w:ascii="Times New Roman" w:hAnsi="Times New Roman"/>
                <w:color w:val="000000" w:themeColor="text1"/>
                <w:sz w:val="26"/>
                <w:szCs w:val="26"/>
                <w:lang w:val="vi-VN"/>
              </w:rPr>
              <w:t xml:space="preserve">ăng ký công bố hợp chuẩn dựa trên kết quả </w:t>
            </w:r>
            <w:r>
              <w:rPr>
                <w:rFonts w:ascii="Times New Roman" w:hAnsi="Times New Roman"/>
                <w:color w:val="000000" w:themeColor="text1"/>
                <w:sz w:val="26"/>
                <w:szCs w:val="26"/>
              </w:rPr>
              <w:t>chứng nhận</w:t>
            </w:r>
            <w:r>
              <w:rPr>
                <w:rFonts w:ascii="Times New Roman" w:hAnsi="Times New Roman"/>
                <w:color w:val="000000" w:themeColor="text1"/>
                <w:sz w:val="26"/>
                <w:szCs w:val="26"/>
                <w:lang w:val="vi-VN"/>
              </w:rPr>
              <w:t xml:space="preserve"> hợp chuẩn của tổ chức chứng nhận</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sz w:val="26"/>
                <w:szCs w:val="26"/>
              </w:rPr>
              <w:t>Tiêu chuẩn ĐLCL</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Thủ tục đ</w:t>
            </w:r>
            <w:r>
              <w:rPr>
                <w:rFonts w:ascii="Times New Roman" w:hAnsi="Times New Roman"/>
                <w:color w:val="000000" w:themeColor="text1"/>
                <w:sz w:val="26"/>
                <w:szCs w:val="26"/>
                <w:lang w:val="vi-VN"/>
              </w:rPr>
              <w:t>ăng ký công bố hợp chuẩn dựa trên kết quả tự đánh giá của tổ chức sản xuất, kinh doanh</w:t>
            </w:r>
            <w:r>
              <w:rPr>
                <w:rFonts w:ascii="Times New Roman" w:hAnsi="Times New Roman"/>
                <w:color w:val="000000" w:themeColor="text1"/>
                <w:sz w:val="26"/>
                <w:szCs w:val="26"/>
              </w:rPr>
              <w:t xml:space="preserve"> </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sz w:val="26"/>
                <w:szCs w:val="26"/>
              </w:rPr>
              <w:t>Tiêu chuẩn ĐLCL</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Thủ tục đăng ký kiểm tra nhà nước về chất lượng sản phẩm, hàng hóa nhóm 02 nhập khẩu</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sz w:val="26"/>
                <w:szCs w:val="26"/>
              </w:rPr>
              <w:t>Tiêu chuẩn ĐLCL</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iCs/>
                <w:color w:val="000000" w:themeColor="text1"/>
                <w:sz w:val="26"/>
                <w:szCs w:val="26"/>
                <w:lang w:val="nl-NL"/>
              </w:rPr>
              <w:t>Thủ tục miễn giảm kiểm tra chất lượng hàng hóa nhóm 02 nhập khẩu</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sz w:val="26"/>
                <w:szCs w:val="26"/>
              </w:rPr>
              <w:t>Tiêu chuẩn ĐLCL</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Thủ tục đăng ký tham dự sơ tuyển, xét tặng giải thưởng chất lượng quốc gia</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sz w:val="26"/>
                <w:szCs w:val="26"/>
              </w:rPr>
              <w:t>Tiêu chuẩn ĐLCL</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VI</w:t>
            </w: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b/>
                <w:sz w:val="26"/>
                <w:szCs w:val="26"/>
              </w:rPr>
              <w:t>SỞ LAO ĐỘNG - THƯƠNG BINH VÀ XÃ HỘI</w:t>
            </w:r>
          </w:p>
        </w:tc>
        <w:tc>
          <w:tcPr>
            <w:tcW w:w="2693" w:type="dxa"/>
            <w:vAlign w:val="center"/>
          </w:tcPr>
          <w:p>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21</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sz w:val="26"/>
                <w:szCs w:val="26"/>
              </w:rPr>
              <w:t>Khai báo máy, thiết bị, vật tư có yêu cầu nghiêm ngặt về an toàn lao động</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sz w:val="26"/>
                <w:szCs w:val="26"/>
              </w:rPr>
              <w:t>An toàn lao động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eastAsiaTheme="minorHAnsi" w:hAnsi="Times New Roman"/>
                <w:sz w:val="26"/>
                <w:szCs w:val="26"/>
                <w:lang w:val="es-MX"/>
              </w:rPr>
              <w:t>Hỗ trợ kính phí huấn luyện an toàn, vệ sinh lao động.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lang w:val="vi-VN"/>
              </w:rPr>
              <w:t>An toàn, vệ sinh lao động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Giải quyết hưởng trợ cấp thất nghiệp</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Tạm dừng hưởng trợ cấp thất nghiệp</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Tiếp tục hưởng trợ cấp thất nghiệp</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Chấm dứt hưởng trợ cấp thất nghiệp</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Giải quyết hỗ trợ về học nghề</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Giải quyết hỗ trợ kinh phí đào tạo, bồi dưỡng nâng cao trình độ kỹ năng nghề để duy trì việc làm cho người lao động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Cấp Giấy phép lao động cho người lao động nước ngoài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Cấp lại Giấy phép lao động cho người lao động nước ngoài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Xác nhận người lao động nước ngoài không thuộc diện cấp giấy phép lao động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Báo cáo nhu cầu sử dụng người lao động nước ngoài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Báo cáo thay đổi nhu cầu sử dụng người lao động nước ngoài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Đăng ký nội quy lao động của doanh nghiệp</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lang w:val="vi-VN"/>
              </w:rPr>
              <w:t>Cấp giấy phép hoạt động dịch vụ việc làm của doanh nghiệp hoạt động dịch vụ việc làm</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lang w:val="vi-VN"/>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lang w:val="vi-VN"/>
              </w:rPr>
              <w:t>Cấp lại giấy phép hoạt động dịch vụ việc làm của doanh nghiệp hoạt động dịch vụ việc làm</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lang w:val="vi-VN"/>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lang w:val="vi-VN"/>
              </w:rPr>
              <w:t>Gia hạn giấy phép hoạt động dịch vụ việc làm của doanh nghiệp hoạt động dịch vụ việc làm</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lang w:val="vi-VN"/>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eastAsiaTheme="minorHAnsi" w:hAnsi="Times New Roman"/>
                <w:sz w:val="26"/>
                <w:szCs w:val="26"/>
                <w:lang w:val="vi-VN"/>
              </w:rPr>
              <w:t>Gia hạn giấy phép lao động cho người lao động nước ngoài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lang w:val="vi-VN"/>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Phê duyệt quỹ tiền lương, thù lao thực hiện, quỹ tiền thưởng đối với viên chức quản lý công ty TNHH một thành viên do UBND tỉnh, thành phố làm chủ sở hữu</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Lao động, tiền lương, quan hệ lao động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Xếp hạng công ty TNHH một thành viên do Ủy ban nhân dân tỉnh, thành phố làm chủ sở hữu (hạng Tổng công ty và tương đương, hạng I, hạng II và hạng III)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Lao động, tiền lương, quan hệ lao động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Cấp Giấy phép hoạt động cho thuê lại lao động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Lao động, tiền lương, quan hệ lao động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VII</w:t>
            </w: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b/>
                <w:sz w:val="26"/>
                <w:szCs w:val="26"/>
              </w:rPr>
              <w:t>SỞ NGOẠI VỤ</w:t>
            </w:r>
          </w:p>
        </w:tc>
        <w:tc>
          <w:tcPr>
            <w:tcW w:w="2693" w:type="dxa"/>
            <w:vAlign w:val="center"/>
          </w:tcPr>
          <w:p>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01</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Cho phép tổ chức hội nghị, hội thảo quốc tế không thuộc thẩm quyền của Thủ tướng Chính phủ</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bCs/>
                <w:sz w:val="26"/>
                <w:szCs w:val="26"/>
                <w:lang w:val="vi-VN"/>
              </w:rPr>
              <w:t>Hội nghị, hội thảo quốc tế</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VIII</w:t>
            </w: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b/>
                <w:sz w:val="26"/>
                <w:szCs w:val="26"/>
              </w:rPr>
              <w:t>SỞ NỘI VỤ</w:t>
            </w:r>
          </w:p>
        </w:tc>
        <w:tc>
          <w:tcPr>
            <w:tcW w:w="2693" w:type="dxa"/>
            <w:vAlign w:val="center"/>
          </w:tcPr>
          <w:p>
            <w:pPr>
              <w:spacing w:before="20" w:after="20" w:line="240" w:lineRule="auto"/>
              <w:ind w:left="57" w:right="57"/>
              <w:jc w:val="both"/>
              <w:rPr>
                <w:rFonts w:ascii="Times New Roman" w:hAnsi="Times New Roman"/>
                <w:b/>
                <w:bCs/>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28</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sz w:val="26"/>
                <w:szCs w:val="26"/>
              </w:rPr>
              <w:t>Thành lập Hội có phạm vi hoạt động trong tỉnh</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color w:val="000000" w:themeColor="text1"/>
                <w:sz w:val="26"/>
                <w:szCs w:val="26"/>
              </w:rPr>
              <w:t>Hội, Tổ chức phi chính phủ</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Phê duyệt điều lệ Hội có phạm vi hoạt động trong tỉnh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Hội, Tổ chức phi chính phủ</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Báo cáo tổ chức Đại hội nhiệm kỳ, Đại hội bất thường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Hội, Tổ chức phi chính phủ</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Cấp giấy phép thành lập và công nhận điều lệ Quỹ</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Hội, Tổ chức phi chính phủ</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Công nhận quỹ đủ điều kiện hoạt động và công nhận thành viên Hội đồng quản lý Quỹ</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Hội, Tổ chức phi chính phủ</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Công nhận thay đổi, bổ sung thành viên Hội đồng quản lý Quỹ</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Hội, Tổ chức phi chính phủ</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Công nhận thay đổi Giấy phép thành lập và công nhận Điều lệ (sửa đổi, bổ sung) Quỹ</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Hội, Tổ chức phi chính phủ</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cấp lại Chứng chỉ hành nghề lưu trữ</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Lưu trữ</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Khen thưởng Huân chương Lao động cho tập thể, cá nhân về thành tích thực hiện nhiệm vụ chính trị</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Cờ thi đua của Chính phủ về thành tích thực hiện nhiệm vụ chính trị</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thưởng Bằng khen của Thủ tướng Chính phủ cho tập thể, cá nhân về thành tích thực hiện nhiệm vụ chính trị</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thưởng Bằng khen của Thủ tướng Chính phủ về thành tích thi đua theo đợt hoặc chuyên đề</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Khen thưởng Huân chương Độc lập cho cá nhân có quá trình cống hiến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Khen thưởng Huân chương Lao động cho cá nhân có quá trình cống hiến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thưởng Bằng khen của Chủ tịch UBND tỉnh cho tập thể trong khối thi đua thuộc tỉnh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thưởng Bằng khen của Chủ tịch UBND tỉnh cho tập thể, cá nhân thuộc các cơ quan, đơn vị, địa phương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Cờ thi đua của UBND tỉnh đối với các đơn vị trong Khối thi đua thuộc tỉnh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Cờ thi đua của UBND tỉnh đối với các đơn vị thuộc và trực thuộc các cơ quan, đơn vị, địa phương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danh hiệu Chiến sỹ thi đua cấp tỉnh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danh hiệu Tập thể lao động xuất sắc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thưởng Bằng khen của Chủ tịch UBND tỉnh theo đợt hoặc chuyên đề</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Cờ thi đua của UBND tỉnh theo đợt hoặc chuyên đề</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thưởng Bằng khen của Chủ tịch UBND tỉnh về thành tích đột xuất</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thưởng Bằng khen của Chủ tịch UBND tỉnh cho gia đình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thưởng Bằng khen của Chủ tịch UBND tỉnh về thành tích đối ngoại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Khen thưởng Huân chương Độc lập cho tập thể, cá nhân về thành tích thực hiện nhiệm vụ chính trị</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Khen thưởng Huân chương Lao động cho tập thể, cá nhân về phong trào thi đua theo đợt hoặc chuyên đề</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Tặng thưởng Bằng khen của Thủ tướng Chính phủ về thành tích thi đua theo đợt hoặc chuyên đề</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Thi đua, khen thưởng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IX</w:t>
            </w: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b/>
                <w:sz w:val="26"/>
                <w:szCs w:val="26"/>
              </w:rPr>
              <w:t>SỞ NÔNG NGHIỆP VÀ PTNT</w:t>
            </w:r>
          </w:p>
        </w:tc>
        <w:tc>
          <w:tcPr>
            <w:tcW w:w="2693" w:type="dxa"/>
            <w:vAlign w:val="center"/>
          </w:tcPr>
          <w:p>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55</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Cấp giấy chứng nhận đủ điều kiện buôn bán thuốc bảo vệ thực vật</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Cấp lại giấy chứng nhận đủ điều kiện buôn bán thuốc bảo vệ thực vật</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color w:val="000000" w:themeColor="text1"/>
                <w:sz w:val="26"/>
                <w:szCs w:val="26"/>
              </w:rPr>
              <w:t>Cấp giấy xác nhận quảng cáo</w:t>
            </w:r>
            <w:r>
              <w:rPr>
                <w:rFonts w:ascii="Times New Roman" w:hAnsi="Times New Roman"/>
                <w:b/>
                <w:color w:val="000000" w:themeColor="text1"/>
                <w:sz w:val="26"/>
                <w:szCs w:val="26"/>
              </w:rPr>
              <w:t xml:space="preserve"> </w:t>
            </w:r>
            <w:r>
              <w:rPr>
                <w:rFonts w:ascii="Times New Roman" w:hAnsi="Times New Roman"/>
                <w:bCs/>
                <w:color w:val="000000" w:themeColor="text1"/>
                <w:sz w:val="26"/>
                <w:szCs w:val="26"/>
              </w:rPr>
              <w:t>thuốc bảo vệ thực vật</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Cấp giấy chứng nhận đủ điều kiện buôn bán phân bón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Cấp lại giấy chứng nhận đủ điều kiện buôn bán phân bón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Cấp giấy xác nhận quảng cáo phân bón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Cấp Quyết định, phục hồi Quyết định công nhận cây đầu dòng, vườn cây đầu dòng, cây công nghiệp, cây ăn quả lâu năm nhân giống bằng phương pháp vô tính</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Đăng ký công bố hợp quy đối với các sản phẩm, hàng hóa sản xuất trong nước được quản lý bởi các quy chuẩn kỹ thuật quốc gia do Bộ Nông nghiệp và phát triển nông thôn ban hành</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chứng nhận đủ điều kiện chăn nuôi đối với chăn nuôi trang trại quy mô lớn.</w:t>
            </w:r>
          </w:p>
        </w:tc>
        <w:tc>
          <w:tcPr>
            <w:tcW w:w="2693" w:type="dxa"/>
            <w:vAlign w:val="center"/>
          </w:tcPr>
          <w:p>
            <w:pPr>
              <w:spacing w:before="20" w:after="20" w:line="240" w:lineRule="auto"/>
              <w:ind w:left="57" w:right="57"/>
              <w:jc w:val="both"/>
              <w:rPr>
                <w:rFonts w:ascii="Times New Roman" w:hAnsi="Times New Roman"/>
                <w:bCs/>
                <w:sz w:val="26"/>
                <w:szCs w:val="26"/>
              </w:rPr>
            </w:pPr>
            <w:r>
              <w:rPr>
                <w:rFonts w:ascii="Times New Roman" w:hAnsi="Times New Roman"/>
                <w:bCs/>
                <w:sz w:val="26"/>
                <w:szCs w:val="26"/>
              </w:rPr>
              <w:t>Chăn nuôi và Thú y</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lại Giấy chứng nhận đủ điều kiện chăn nuôi đối với chăn nuôi trang trại quy mô lớn.</w:t>
            </w:r>
          </w:p>
        </w:tc>
        <w:tc>
          <w:tcPr>
            <w:tcW w:w="2693" w:type="dxa"/>
            <w:vAlign w:val="center"/>
          </w:tcPr>
          <w:p>
            <w:pPr>
              <w:spacing w:before="20" w:after="20" w:line="240" w:lineRule="auto"/>
              <w:ind w:left="57" w:right="57"/>
              <w:jc w:val="both"/>
              <w:rPr>
                <w:rFonts w:ascii="Times New Roman" w:hAnsi="Times New Roman"/>
                <w:bCs/>
                <w:sz w:val="26"/>
                <w:szCs w:val="26"/>
              </w:rPr>
            </w:pPr>
            <w:r>
              <w:rPr>
                <w:rFonts w:ascii="Times New Roman" w:hAnsi="Times New Roman"/>
                <w:sz w:val="26"/>
                <w:szCs w:val="26"/>
              </w:rPr>
              <w:t>Chăn nuôi và Thú y</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chứng nhận đủ điều kiện buôn bán thuốc thú y</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Chăn nuôi và Thú y</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lại Giấy chứng nhận đủ điều kiện buôn bán thuốc thú y (trong tường hợp bị mất, sai sót, hư hỏng; thay đổi thông tin có liên quan đến tổ chức, cá nhân đăng ký)</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Chăn nuôi và Thú y</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xác nhận nội dung quảng cáo thuốc thú y</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Chăn nuôi và Thú y</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chứng nhận cơ sở an toàn dịch bệnh động vật</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Chăn nuôi và Thú y</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lại Giấy chứng nhận cơ sở an toàn dịch bệnh động vật</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Chăn nuôi và Thú y</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cấp lại giấy chứng nhận điều kiện vệ sinh thú y</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Chăn nuôi và Thú y</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chứng nhận vùng an toàn dịch bệnh động vật</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Chăn nuôi và Thú y</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lại Giấy chứng nhận vùng an toàn dịch bệnh động vật</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Chăn nuôi và Thú y</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 xml:space="preserve">Đăng ký mã số cơ sở nuôi, trồng các loài động vật rừng, thực vật rừng nguy cấp, quý, </w:t>
            </w:r>
            <w:r>
              <w:rPr>
                <w:rFonts w:ascii="Times New Roman" w:hAnsi="Times New Roman"/>
                <w:color w:val="000000"/>
                <w:sz w:val="26"/>
                <w:szCs w:val="26"/>
                <w:u w:color="FF0000"/>
              </w:rPr>
              <w:t>hiếm</w:t>
            </w:r>
            <w:r>
              <w:rPr>
                <w:rFonts w:ascii="Times New Roman" w:hAnsi="Times New Roman"/>
                <w:sz w:val="26"/>
                <w:szCs w:val="26"/>
              </w:rPr>
              <w:t xml:space="preserve"> Nhóm II và động vật, thực vật hoang dã nguy cấp thuộc Phụ lục II, III CITES</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bCs/>
                <w:color w:val="000000" w:themeColor="text1"/>
                <w:sz w:val="26"/>
                <w:szCs w:val="26"/>
              </w:rPr>
              <w:t>Lâm nghiệp</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pacing w:val="-4"/>
                <w:sz w:val="26"/>
                <w:szCs w:val="26"/>
              </w:rPr>
              <w:t>Công nhận, công nhận lại nguồn giống cây trồng lâm nghiệp</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color w:val="000000" w:themeColor="text1"/>
                <w:sz w:val="26"/>
                <w:szCs w:val="26"/>
              </w:rPr>
              <w:t>Lâm nghiệp</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Phê duyệt đề án du lịch sinh thái, nghỉ dưỡng, giải trí trong rừng đặc dụng đối với khu rừng đặc dụng thuộc địa phương quản lý</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Lâm nghiệp</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Phê duyệt đề án du lịch sinh thái, nghỉ dưỡng, giải trí trong rừng phòng hộ đối với khu rừng phòng hộ thuộc địa phương quản lý</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Lâm nghiệp</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Phê duyệt, điều chỉnh, thiết kế dự toán công trình lâm sinh (đối với công trình lâm sinh thuộc dự án do Chủ tịch UBND cấp tỉnh quyết định đầu tư)</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Lâm nghiệp</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chứng nhận cơ sở đủ điều kiện an toàn thực phẩm đối với cơ sở sản xuất, kinh doanh thực phẩm nông, lâm, thủy sản</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bCs/>
                <w:color w:val="000000" w:themeColor="text1"/>
                <w:sz w:val="26"/>
                <w:szCs w:val="26"/>
              </w:rPr>
              <w:t>Quản lý chất lượng nông lâm sản và 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lại Giấy chứng nhận cơ sở đủ điều kiện an toàn thực phẩm đối với cơ sở sản xuất, kinh doanh, thực phẩm nông, lâm, thủy sản (trường hợp trước 06 tháng tính đến ngày Giấy chứng nhận cơ sở đủ điều kiện an toàn thực phẩm hết thời hạn hiệu lực)</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Quản lý chất lượng nông lâm sản và 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Kiểm tra chất lượng muối nhập khẩu</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color w:val="000000" w:themeColor="text1"/>
                <w:sz w:val="26"/>
                <w:szCs w:val="26"/>
              </w:rPr>
              <w:t>Kinh tế hợp tác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lại giấy phép bị mất, bị rách, hư hỏng thuộc thẩm quyền cấp phép của UBND tỉnh</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bCs/>
                <w:sz w:val="26"/>
                <w:szCs w:val="26"/>
              </w:rPr>
              <w:t>Thủy lợi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 xml:space="preserve">Cấp lại giấy phép tên chủ giấy phép đã được cấp bị thay đổi do chuyển nhượng, sáp nhập, chia tách, cơ cấu lại tổ chức thuộc thẩm quyền cấp phép của UBND tỉnh.  </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sz w:val="26"/>
                <w:szCs w:val="26"/>
              </w:rPr>
              <w:t>Thủy lợi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phép nuôi trồng thủy sản thuộc thẩm quyền cấp phép của UBND tỉnh.</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sz w:val="26"/>
                <w:szCs w:val="26"/>
              </w:rPr>
              <w:t>Thủy lợi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sz w:val="26"/>
                <w:szCs w:val="26"/>
              </w:rPr>
              <w:t>Thủy lợi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Phê duyệt phương án, điều chỉnh phương án cắm mốc chỉ giới phạm vi bảo vệ công trình thủy lợi trên địa bàn UBND tỉnh quản lý</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sz w:val="26"/>
                <w:szCs w:val="26"/>
              </w:rPr>
              <w:t>Thủy lợi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Thẩm định, phê duyệt đề cương, kết quả kiểm định an toàn đập, hồ chứa thủy lợi thuộc thẩm quyền của UBND tỉnh</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sz w:val="26"/>
                <w:szCs w:val="26"/>
              </w:rPr>
              <w:t>Thủy lợi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Phê duyệt phương án bảo vệ đập, hồ chứa nước thuộc thẩm quyền của UBND tỉnh</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sz w:val="26"/>
                <w:szCs w:val="26"/>
              </w:rPr>
              <w:t>Thủy lợi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Thẩm định, phê duyệt, điều chỉnh và công bố công khai quy trình vận hành hồ chứa nước thuộc thẩm quyền của UBND tỉnh</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sz w:val="26"/>
                <w:szCs w:val="26"/>
              </w:rPr>
              <w:t>Thủy lợi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sz w:val="26"/>
                <w:szCs w:val="26"/>
              </w:rPr>
            </w:pPr>
            <w:r>
              <w:rPr>
                <w:rFonts w:ascii="Times New Roman" w:hAnsi="Times New Roman"/>
                <w:sz w:val="26"/>
                <w:szCs w:val="26"/>
              </w:rPr>
              <w:t>Sửa đổi, bổ sung nội dung quyết định công nhận và giao quyền quản lý cho tổ chức cộng động thực hiện đồng quản lý trong bảo vệ nguồn lợi thủy sản (thuộc địa bàn hai huyện trở lên)</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cấp lại giấy chứng nhận cơ sở đủ điều kiện sản xuất, ương dưỡng giống thủy sản (trừ giống thủy sản bố mẹ)</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chứng nhận cơ sở đủ điều kiện nuôi trồng thủy sản (theo yêu cầu)</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cấp lại giấy xác nhận đăng ký nuôi trồng thủy sản lồng bè, đối tượng thủy sản nuôi chủ lực</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cấp lại giấy phép khai thác thủy sản</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cấp lại giấy chứng nhận cơ sở đủ điều kiện đóng mới, cải hoán tàu cá</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văn bản chấp thuận đóng mới, cải hoán, thuê, mua tàu cá trên biển.</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cấp lại giấy chứng nhận nguồn gốc thủy sản khai thác (theo yêu cầu)</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chứng nhận đăng ký tàu cá</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lại giấy chứng đăng ký tàu cá</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chứng nhận tạm thời tàu cá</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Xóa đăng ký tàu cá</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Hỗ trợ một lần sau đầu tư đóng mới tàu cá</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Công bố mở cảng cá loại 2</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chứng nhận thẩm định thiết kế tàu cá</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chứng nhận an toàn kỹ thuật tàu cá</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Xác nhận nguyên liệu thủy sản khai thác trong nước (theo yêu cầu)</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Thủy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Công nhận nghề truyền thống</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Phát triển nông thôn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Công nhận làng nghề</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Phát triển nông thôn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Công nhận làng nghề truyền thống</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Phát triển nông thôn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Phê duyệt kế hoạch khuyến nông địa phương</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color w:val="000000" w:themeColor="text1"/>
                <w:sz w:val="26"/>
                <w:szCs w:val="26"/>
              </w:rPr>
              <w:t>Khoa học công nghệ và Môi trường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X</w:t>
            </w: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b/>
                <w:sz w:val="26"/>
                <w:szCs w:val="26"/>
              </w:rPr>
              <w:t>SỞ TÀI CHÍNH</w:t>
            </w:r>
          </w:p>
        </w:tc>
        <w:tc>
          <w:tcPr>
            <w:tcW w:w="2693" w:type="dxa"/>
            <w:vAlign w:val="center"/>
          </w:tcPr>
          <w:p>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10</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sz w:val="26"/>
                <w:szCs w:val="26"/>
                <w:lang w:val="nl-NL"/>
              </w:rPr>
              <w:t>Quyết định giá thuộc thẩm quyền cấp tỉnh.</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Lĩnh vực Công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M</w:t>
            </w:r>
            <w:r>
              <w:rPr>
                <w:rFonts w:ascii="Times New Roman" w:hAnsi="Times New Roman"/>
                <w:sz w:val="26"/>
                <w:szCs w:val="26"/>
                <w:lang w:val="vi-VN"/>
              </w:rPr>
              <w:t xml:space="preserve">ua sắm tài sản công phục vụ hoạt động của </w:t>
            </w:r>
            <w:r>
              <w:rPr>
                <w:rFonts w:ascii="Times New Roman" w:hAnsi="Times New Roman"/>
                <w:sz w:val="26"/>
                <w:szCs w:val="26"/>
              </w:rPr>
              <w:t>cơ</w:t>
            </w:r>
            <w:r>
              <w:rPr>
                <w:rFonts w:ascii="Times New Roman" w:hAnsi="Times New Roman"/>
                <w:sz w:val="26"/>
                <w:szCs w:val="26"/>
                <w:lang w:val="vi-VN"/>
              </w:rPr>
              <w:t xml:space="preserve"> quan, tổ chức, đơn vị trong </w:t>
            </w:r>
            <w:r>
              <w:rPr>
                <w:rFonts w:ascii="Times New Roman" w:hAnsi="Times New Roman"/>
                <w:sz w:val="26"/>
                <w:szCs w:val="26"/>
                <w:shd w:val="clear" w:color="auto" w:fill="FFFFFF"/>
                <w:lang w:val="vi-VN"/>
              </w:rPr>
              <w:t>trường hợp</w:t>
            </w:r>
            <w:r>
              <w:rPr>
                <w:rFonts w:ascii="Times New Roman" w:hAnsi="Times New Roman"/>
                <w:sz w:val="26"/>
                <w:szCs w:val="26"/>
                <w:lang w:val="vi-VN"/>
              </w:rPr>
              <w:t xml:space="preserve"> không phải lập thành dự án đầu tư</w:t>
            </w:r>
            <w:r>
              <w:rPr>
                <w:rFonts w:ascii="Times New Roman" w:hAnsi="Times New Roman"/>
                <w:sz w:val="26"/>
                <w:szCs w:val="26"/>
              </w:rPr>
              <w:t>.</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Lĩnh vực Công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Thủ tục t</w:t>
            </w:r>
            <w:r>
              <w:rPr>
                <w:rFonts w:ascii="Times New Roman" w:hAnsi="Times New Roman"/>
                <w:sz w:val="26"/>
                <w:szCs w:val="26"/>
                <w:lang w:val="vi-VN"/>
              </w:rPr>
              <w:t xml:space="preserve">hu hồi tài sản công trong </w:t>
            </w:r>
            <w:r>
              <w:rPr>
                <w:rFonts w:ascii="Times New Roman" w:hAnsi="Times New Roman"/>
                <w:sz w:val="26"/>
                <w:szCs w:val="26"/>
                <w:shd w:val="clear" w:color="auto" w:fill="FFFFFF"/>
                <w:lang w:val="vi-VN"/>
              </w:rPr>
              <w:t>trường hợp</w:t>
            </w:r>
            <w:r>
              <w:rPr>
                <w:rFonts w:ascii="Times New Roman" w:hAnsi="Times New Roman"/>
                <w:sz w:val="26"/>
                <w:szCs w:val="26"/>
                <w:shd w:val="clear" w:color="auto" w:fill="FFFFFF"/>
              </w:rPr>
              <w:t xml:space="preserve"> </w:t>
            </w:r>
            <w:r>
              <w:rPr>
                <w:rFonts w:ascii="Times New Roman" w:hAnsi="Times New Roman"/>
                <w:sz w:val="26"/>
                <w:szCs w:val="26"/>
              </w:rPr>
              <w:t>cơ</w:t>
            </w:r>
            <w:r>
              <w:rPr>
                <w:rFonts w:ascii="Times New Roman" w:hAnsi="Times New Roman"/>
                <w:sz w:val="26"/>
                <w:szCs w:val="26"/>
                <w:lang w:val="vi-VN"/>
              </w:rPr>
              <w:t xml:space="preserve"> quan nhà nước được giao quản lý, </w:t>
            </w:r>
            <w:r>
              <w:rPr>
                <w:rFonts w:ascii="Times New Roman" w:hAnsi="Times New Roman"/>
                <w:sz w:val="26"/>
                <w:szCs w:val="26"/>
                <w:shd w:val="clear" w:color="auto" w:fill="FFFFFF"/>
                <w:lang w:val="vi-VN"/>
              </w:rPr>
              <w:t>sử dụng</w:t>
            </w:r>
            <w:r>
              <w:rPr>
                <w:rFonts w:ascii="Times New Roman" w:hAnsi="Times New Roman"/>
                <w:sz w:val="26"/>
                <w:szCs w:val="26"/>
                <w:lang w:val="vi-VN"/>
              </w:rPr>
              <w:t xml:space="preserve"> tài sản công tự nguyện trả lại tài sản cho Nhà nước</w:t>
            </w:r>
            <w:r>
              <w:rPr>
                <w:rFonts w:ascii="Times New Roman" w:hAnsi="Times New Roman"/>
                <w:sz w:val="26"/>
                <w:szCs w:val="26"/>
              </w:rPr>
              <w:t>.</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Lĩnh vực Công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Đ</w:t>
            </w:r>
            <w:r>
              <w:rPr>
                <w:rFonts w:ascii="Times New Roman" w:hAnsi="Times New Roman"/>
                <w:sz w:val="26"/>
                <w:szCs w:val="26"/>
                <w:lang w:val="vi-VN"/>
              </w:rPr>
              <w:t>iều chuyển tài sản công</w:t>
            </w:r>
            <w:r>
              <w:rPr>
                <w:rFonts w:ascii="Times New Roman" w:hAnsi="Times New Roman"/>
                <w:sz w:val="26"/>
                <w:szCs w:val="26"/>
              </w:rPr>
              <w:t>.</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Lĩnh vực Công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B</w:t>
            </w:r>
            <w:r>
              <w:rPr>
                <w:rFonts w:ascii="Times New Roman" w:hAnsi="Times New Roman"/>
                <w:sz w:val="26"/>
                <w:szCs w:val="26"/>
                <w:lang w:val="vi-VN"/>
              </w:rPr>
              <w:t>án tài sản công</w:t>
            </w:r>
            <w:r>
              <w:rPr>
                <w:rFonts w:ascii="Times New Roman" w:hAnsi="Times New Roman"/>
                <w:sz w:val="26"/>
                <w:szCs w:val="26"/>
              </w:rPr>
              <w:t>.</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Lĩnh vực Công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T</w:t>
            </w:r>
            <w:r>
              <w:rPr>
                <w:rFonts w:ascii="Times New Roman" w:hAnsi="Times New Roman"/>
                <w:sz w:val="26"/>
                <w:szCs w:val="26"/>
                <w:lang w:val="vi-VN"/>
              </w:rPr>
              <w:t>hanh lý tài sản công</w:t>
            </w:r>
            <w:r>
              <w:rPr>
                <w:rFonts w:ascii="Times New Roman" w:hAnsi="Times New Roman"/>
                <w:sz w:val="26"/>
                <w:szCs w:val="26"/>
              </w:rPr>
              <w:t>.</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Lĩnh vực Công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shd w:val="clear" w:color="auto" w:fill="FFFFFF"/>
              </w:rPr>
              <w:t>Thanh toán chi phí có liên quan đến việc xử lý tài sản công</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Lĩnh vực Công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shd w:val="clear" w:color="auto" w:fill="FFFFFF"/>
              </w:rPr>
              <w:t>Phê duyệt đề án sử dụng tài sản công tại đơn vị sự nghiệp công lập vào mục đích kinh doanh, cho thuê</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Lĩnh vực Công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shd w:val="clear" w:color="auto" w:fill="FFFFFF"/>
              </w:rPr>
              <w:t>Phê duyệt đề án sử dụng tài sản công tại đơn vị sự nghiệp công lập vào mục đích liên doanh, liên kết.</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Lĩnh vực Công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shd w:val="clear" w:color="auto" w:fill="FFFFFF"/>
              </w:rPr>
              <w:t>Xử lý tài sản phục vụ hoạt động của dự án khi dự án kết thúc.</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Lĩnh vực Công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XI</w:t>
            </w:r>
          </w:p>
        </w:tc>
        <w:tc>
          <w:tcPr>
            <w:tcW w:w="5466" w:type="dxa"/>
            <w:shd w:val="clear" w:color="auto" w:fill="auto"/>
            <w:vAlign w:val="center"/>
          </w:tcPr>
          <w:p>
            <w:pPr>
              <w:spacing w:before="20" w:after="20" w:line="240" w:lineRule="auto"/>
              <w:ind w:left="57" w:right="57"/>
              <w:rPr>
                <w:rFonts w:ascii="Times New Roman" w:hAnsi="Times New Roman"/>
                <w:b/>
                <w:sz w:val="26"/>
                <w:szCs w:val="26"/>
              </w:rPr>
            </w:pPr>
            <w:r>
              <w:rPr>
                <w:rFonts w:ascii="Times New Roman" w:hAnsi="Times New Roman"/>
                <w:b/>
                <w:sz w:val="26"/>
                <w:szCs w:val="26"/>
              </w:rPr>
              <w:t>SỞ TÀI NGUYÊN VÀ MÔI TRƯỜNG</w:t>
            </w:r>
          </w:p>
        </w:tc>
        <w:tc>
          <w:tcPr>
            <w:tcW w:w="2693" w:type="dxa"/>
            <w:vAlign w:val="center"/>
          </w:tcPr>
          <w:p>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7</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sz w:val="26"/>
                <w:szCs w:val="26"/>
              </w:rPr>
              <w:t>Cấp đổi giấy phép môi trường</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sz w:val="26"/>
                <w:szCs w:val="26"/>
              </w:rPr>
              <w:t>Môi trường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điều chỉnh giấy phép môi trường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Môi trường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Thu phí bảo vệ môi trường đối với nước thải công nghiệp</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Môi trường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Trả lại giấy phép tài nguyên nước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Tài nguyên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 xml:space="preserve">Cấp lại giấy phép tài nguyên nước </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Tài nguyên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Giấy phép hành nghề khoan nước dưới đất</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Tài nguyên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giấy phép hoạt động dự báo, cảnh báo khí tượng thủy văn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Khí tượng thủy văn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XII</w:t>
            </w: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b/>
                <w:sz w:val="26"/>
                <w:szCs w:val="26"/>
              </w:rPr>
              <w:t>SỞ TƯ PHÁP</w:t>
            </w:r>
          </w:p>
        </w:tc>
        <w:tc>
          <w:tcPr>
            <w:tcW w:w="2693" w:type="dxa"/>
            <w:vAlign w:val="center"/>
          </w:tcPr>
          <w:p>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19</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Cs/>
                <w:sz w:val="26"/>
                <w:szCs w:val="26"/>
              </w:rPr>
            </w:pPr>
            <w:r>
              <w:rPr>
                <w:rFonts w:ascii="Times New Roman" w:hAnsi="Times New Roman"/>
                <w:bCs/>
                <w:sz w:val="26"/>
                <w:szCs w:val="26"/>
              </w:rPr>
              <w:t>Cấp Phiếu lý lịch tư pháp cho công dân Việt Nam, người nước ngoài đang cư trú tại Việt Nam</w:t>
            </w:r>
          </w:p>
        </w:tc>
        <w:tc>
          <w:tcPr>
            <w:tcW w:w="2693" w:type="dxa"/>
            <w:vAlign w:val="center"/>
          </w:tcPr>
          <w:p>
            <w:pPr>
              <w:spacing w:before="20" w:after="20" w:line="240" w:lineRule="auto"/>
              <w:ind w:left="57" w:right="57"/>
              <w:jc w:val="both"/>
              <w:rPr>
                <w:rFonts w:ascii="Times New Roman" w:hAnsi="Times New Roman"/>
                <w:bCs/>
                <w:sz w:val="26"/>
                <w:szCs w:val="26"/>
              </w:rPr>
            </w:pPr>
            <w:r>
              <w:rPr>
                <w:rFonts w:ascii="Times New Roman" w:hAnsi="Times New Roman"/>
                <w:bCs/>
                <w:sz w:val="26"/>
                <w:szCs w:val="26"/>
              </w:rPr>
              <w:t>Lý lịch tư pháp</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Đăng ký hoạt động của tổ chức hành nghề luật sư</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Luật sư</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Thay đổi nội dung đăng ký hoạt động của tổ chức hành nghề luật sư</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Luật sư</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Đăng ký hoạt động của chi nhánh của tổ chức hành nghề luật sư</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Luật sư</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Cấp thẻ tư vấn viên pháp luật</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Tư vấn pháp luật</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Đăng ký tập sự hành nghề công chứng</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Công chứng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Đăng ký hành nghề và cấp Thẻ công chứng viên</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Công chứng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Cấp lại Thẻ công chứng viên</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Công chứng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Đăng ký hoạt động Văn phòng công chứng</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Công chứng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Thay đổi nội dung đăng ký hoạt động của Văn phòng công chứng</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Công chứng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Bổ nhiệm và cấp thẻ giám định viên tư pháp</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Giám định tư pháp</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Thủ tục cấp Thẻ đấu giá viên</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Đấu giá tài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Đăng ký hoạt động của doanh nghiệp đấu giá tài sản</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Đấu giá tài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Thay đổi nội dung đăng ký hoạt động của doanh nghiệp đấu giá tài sản</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Đấu giá tài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Cấp lại Giấy đăng ký hoạt động của doanh nghiệp đấu giá tài sản</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Đấu giá tài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Đăng ký hoạt động của Chi nhánh doanh nghiệp đấu giá tài sản</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Đấu giá tài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Cấp bản sao từ sổ gốc</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Chứng thực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Cấp bản sao trích lục hộ tịch</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Hộ tịch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Xác nhận thông tin hộ tịch</w:t>
            </w:r>
          </w:p>
        </w:tc>
        <w:tc>
          <w:tcPr>
            <w:tcW w:w="2693" w:type="dxa"/>
            <w:vAlign w:val="center"/>
          </w:tcPr>
          <w:p>
            <w:pPr>
              <w:spacing w:before="20" w:after="20" w:line="240" w:lineRule="auto"/>
              <w:ind w:left="57" w:right="57"/>
              <w:jc w:val="both"/>
              <w:rPr>
                <w:rFonts w:ascii="Times New Roman" w:hAnsi="Times New Roman"/>
                <w:b/>
                <w:sz w:val="26"/>
                <w:szCs w:val="26"/>
              </w:rPr>
            </w:pPr>
            <w:r>
              <w:rPr>
                <w:rFonts w:ascii="Times New Roman" w:hAnsi="Times New Roman"/>
                <w:sz w:val="26"/>
                <w:szCs w:val="26"/>
              </w:rPr>
              <w:t>Hộ tịch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XIII</w:t>
            </w: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b/>
                <w:sz w:val="26"/>
                <w:szCs w:val="26"/>
              </w:rPr>
              <w:t>SỞ VĂN HÓA, THỂ THAO VÀ DU LỊCH</w:t>
            </w:r>
          </w:p>
        </w:tc>
        <w:tc>
          <w:tcPr>
            <w:tcW w:w="2693" w:type="dxa"/>
            <w:vAlign w:val="center"/>
          </w:tcPr>
          <w:p>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10</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sz w:val="26"/>
                <w:szCs w:val="26"/>
              </w:rPr>
              <w:t>Cấp Thẻ hướng dẫn viên du lịch quốc tế</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sz w:val="26"/>
                <w:szCs w:val="26"/>
              </w:rPr>
              <w:t>Lĩnh vực Du lịch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Cấp Thẻ hướng dẫn viên du lịch nội địa</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Lĩnh vực Du lịch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 xml:space="preserve">Cấp lại Thẻ hướng dẫn viên du lịch </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Lĩnh vực Du lịch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Cấp đổi Thẻ hướng dẫn viên du lịch quốc tế, thẻ hướng dẫn viên du lịch nội địa</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Lĩnh vực Du lịch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lang w:eastAsia="vi-VN"/>
              </w:rPr>
              <w:t>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Nghệ thuật biểu diễn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Tiếp nhận hồ sơ thông báo sản phẩm quảng cáo trên bảng quảng cáo, băng-rôn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Văn hóa cơ sở</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Thông báo tổ chức đoàn người thực hiện quảng cáo</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rPr>
              <w:t>Văn hóa cơ sở</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Thủ tục cấp phép nhập khẩu văn hóa phẩm không nhằm mục đích kinh doanh thuộc thẩm quyền của Sở Văn hóa, Thể thao và Du lịch/ Sở Văn hóa, Thể thao</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sz w:val="26"/>
                <w:szCs w:val="26"/>
                <w:lang w:val="nl-NL"/>
              </w:rPr>
              <w:t>Mua bán hàng hóa quốc tế chuyên ngành văn hóa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Chứng chỉ hành nghề tu bổ di tích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Di sản văn hóa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Giấy chứng nhận đủ điều kiện hành nghề tu bổ di tích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Di sản văn hóa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XIV</w:t>
            </w: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b/>
                <w:sz w:val="26"/>
                <w:szCs w:val="26"/>
              </w:rPr>
              <w:t>SỞ XÂY DỰNG</w:t>
            </w:r>
          </w:p>
        </w:tc>
        <w:tc>
          <w:tcPr>
            <w:tcW w:w="2693" w:type="dxa"/>
            <w:vAlign w:val="center"/>
          </w:tcPr>
          <w:p>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24</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sz w:val="26"/>
                <w:szCs w:val="26"/>
              </w:rPr>
              <w:t>Điều chỉnh, bổ sung chứng chỉ năng lực hoạt động xây dựng hạng II, III (về lĩnh vực hoạt động và hạng).</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sz w:val="26"/>
                <w:szCs w:val="26"/>
              </w:rPr>
              <w:t>Hoạt động xây dựng</w:t>
            </w:r>
          </w:p>
        </w:tc>
        <w:tc>
          <w:tcPr>
            <w:tcW w:w="960" w:type="dxa"/>
            <w:shd w:val="clear" w:color="auto" w:fill="auto"/>
            <w:vAlign w:val="center"/>
          </w:tcPr>
          <w:p>
            <w:pPr>
              <w:spacing w:before="20" w:after="20" w:line="240" w:lineRule="auto"/>
              <w:ind w:left="57" w:right="57"/>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chứng chỉ năng lực hoạt động xây dựng hạng II, hạng III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Hoạt động 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gia hạn chứng chỉ năng lực hoạt động xây dựng chứng chỉ hạng II, hạng III.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Hoạt động 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Giấy phép hoạt động xây dựng cho tổ chức và cá nhân nước ngoài hoạt động xây dựng tại Việt Nam (thực hiện hợp đồng của dự án nhóm B, C), (sau đây gọi tắt là Nhà thầu).</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Hoạt động 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Điều chỉnh Giấy phép hoạt động xây dựng cho tổ chức và cá nhân nước ngoài hoạt động xây dựng tại Việt Nam (thực hiện hợp đồng của dự án nhóm B, C), (sau đây gọi tắt là Nhà thầu).</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Hoạt động 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Hoạt động 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 xml:space="preserve">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 </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Hoạt động 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giấy phép di dời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Hoạt động 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Hoạt động 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Gia hạn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Hoạt động 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sz w:val="26"/>
                <w:szCs w:val="26"/>
              </w:rPr>
              <w:t>Hoạt động 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Thẩm định nhiệm vụ, nhiệm vụ điều chỉnh quy hoạch chi tiết của dự án đầu tư xây dựng công trình theo hình thức kinh doanh thuộc thẩm quyền phê duyệt của UBND cấp tỉnh.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Quy hoạch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Cung cấp thông tin về quy hoạch xây dựng.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Quy hoạch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Thủ tục công bố hợp quy sản phẩm, hàng hóa vật liệu xây dựng</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Vật liệu 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mới Chứng chỉ hành nghề môi giới bất động sản.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Kinh doanh bất động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Cấp lại (cấp đổi) chứng chỉ hành nghề môi giới bất động sản do bị mất, bị rách, bị cháy, bị hủy hoại do thiên tai hoặc lý do bất khả kháng hoặc cấp lại chứng chỉ hành nghề môi giới bất động sản do hết hạn (hoặc gần hết hạn).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Kinh doanh bất động sản</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Thông báo nhà ở hình thành trong tương lai đủ điều kiện được bán, cho thuê mua.</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Nhà ở</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Bổ nhiệm giám định viên tư pháp xây dựng đối với cá nhân khác không thuộc thẩm quyền giải quyết của Bộ Xây dựng.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Giám định tư pháp 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Đăng ký công bố thông tin người giám định tư pháp xây dựng theo vụ việc, tổ chức giám định tư pháp xây dựng theo vụ việc đối với các cá nhân, tổ chức không thuộc thẩm quyền giải quyết của Bộ Xây dựng,văn phòng giám định tư pháp xây dựng trên địa bàn được Ủy ban nhân dân tỉnh cho phép hoạt động.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Giám định tư pháp 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Điều chỉnh, thay đổi thông tin cá nhân, tổ chức giám định tư pháp xây dựng đối với cá nhân, tổ chức do Ủy ban nhân dân cấp tỉnh đã tiếp nhận đăng ký, công bố thông tin.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Giám định tư pháp 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Thuê nhà ở công vụ thuộc thẩm quyền quản lý của UBND cấp tỉnh.</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Nhà ở</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Cho thuê nhà ở cũ thuộc sở hữu nhà nước.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Nhà ở</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Bán nhà ở cũ thuộc sở hữu nhà nước.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Nhà ở</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sz w:val="26"/>
                <w:szCs w:val="26"/>
              </w:rPr>
              <w:t>Cho thuê, thuê mua nhà ở xã hội thuộc sở hữu nhà nước.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Nhà ở</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XV</w:t>
            </w:r>
          </w:p>
        </w:tc>
        <w:tc>
          <w:tcPr>
            <w:tcW w:w="5466" w:type="dxa"/>
            <w:shd w:val="clear" w:color="auto" w:fill="auto"/>
            <w:vAlign w:val="center"/>
          </w:tcPr>
          <w:p>
            <w:pPr>
              <w:spacing w:before="20" w:after="20" w:line="240" w:lineRule="auto"/>
              <w:ind w:left="57" w:right="57"/>
              <w:jc w:val="both"/>
              <w:rPr>
                <w:rFonts w:ascii="Times New Roman" w:hAnsi="Times New Roman"/>
                <w:b/>
                <w:sz w:val="26"/>
                <w:szCs w:val="26"/>
              </w:rPr>
            </w:pPr>
            <w:r>
              <w:rPr>
                <w:rFonts w:ascii="Times New Roman" w:hAnsi="Times New Roman"/>
                <w:b/>
                <w:sz w:val="26"/>
                <w:szCs w:val="26"/>
              </w:rPr>
              <w:t>SỞ Y TẾ</w:t>
            </w:r>
          </w:p>
        </w:tc>
        <w:tc>
          <w:tcPr>
            <w:tcW w:w="2693" w:type="dxa"/>
            <w:vAlign w:val="center"/>
          </w:tcPr>
          <w:p>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31</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sz w:val="26"/>
                <w:szCs w:val="26"/>
              </w:rPr>
              <w:t>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2693" w:type="dxa"/>
            <w:vAlign w:val="center"/>
          </w:tcPr>
          <w:p>
            <w:pPr>
              <w:spacing w:before="20" w:after="20" w:line="240" w:lineRule="auto"/>
              <w:ind w:left="57" w:right="57"/>
              <w:jc w:val="both"/>
              <w:rPr>
                <w:rFonts w:ascii="Times New Roman" w:hAnsi="Times New Roman"/>
                <w:bCs/>
                <w:color w:val="000000" w:themeColor="text1"/>
                <w:sz w:val="26"/>
                <w:szCs w:val="26"/>
              </w:rPr>
            </w:pPr>
            <w:r>
              <w:rPr>
                <w:rFonts w:ascii="Times New Roman" w:hAnsi="Times New Roman"/>
                <w:bCs/>
                <w:color w:val="000000" w:themeColor="text1"/>
                <w:sz w:val="26"/>
                <w:szCs w:val="26"/>
              </w:rPr>
              <w:t>Dược phẩm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lại Chứng chỉ hành nghề dược theo hình thức xét hồ sơ (trường hợp bị hư hỏng hoặc bị mất)</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Dược phẩm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Điều chỉnh nội dung Chứng chỉ hành nghề dược theo hình thức xét hồ sơ</w:t>
            </w:r>
            <w:r>
              <w:rPr>
                <w:rFonts w:ascii="Times New Roman" w:hAnsi="Times New Roman"/>
                <w:color w:val="333333"/>
                <w:sz w:val="26"/>
                <w:szCs w:val="26"/>
                <w:shd w:val="clear" w:color="auto" w:fill="FFFFFF"/>
              </w:rPr>
              <w:t xml:space="preserve"> </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Dược phẩm</w:t>
            </w:r>
          </w:p>
        </w:tc>
        <w:tc>
          <w:tcPr>
            <w:tcW w:w="960" w:type="dxa"/>
            <w:shd w:val="clear" w:color="auto" w:fill="auto"/>
            <w:vAlign w:val="center"/>
          </w:tcPr>
          <w:p>
            <w:pPr>
              <w:spacing w:before="20" w:after="20" w:line="240" w:lineRule="auto"/>
              <w:ind w:left="57" w:right="57"/>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Dược phẩm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 xml:space="preserve">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 </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Dược phẩm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Cho phép hủy thuốc gây nghiện, thuốc hướng thần, thuốc tiền chất, nguyên liệu làm thuốc là dược chất gây nghiện, dược chất hướng thần, tiền chất dùng làm thuốc thuộc thẩm quyền của Sở Y tế</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Dược phẩm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Cho phép mua thuốc gây nghiện, thuốc hướng thần, thuốc tiền chất, thuốc dạng phối hợp có chứa tiền chất thuộc thẩm quyền của Sở Y tế</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Dược phẩm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p>
            <w:pPr>
              <w:spacing w:before="20" w:after="20" w:line="240" w:lineRule="auto"/>
              <w:ind w:left="57" w:right="57"/>
              <w:jc w:val="both"/>
              <w:rPr>
                <w:rFonts w:ascii="Times New Roman" w:hAnsi="Times New Roman"/>
                <w:b/>
                <w:color w:val="000000" w:themeColor="text1"/>
                <w:sz w:val="26"/>
                <w:szCs w:val="26"/>
              </w:rPr>
            </w:pP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Dược phẩm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Giấy xác nhận nội dung thông tin thuốc theo hình thức hội thảo giới thiệu thuốc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Dược phẩm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Kê khai lại giá thuốc sản xuất trong nước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bCs/>
                <w:color w:val="000000" w:themeColor="text1"/>
                <w:sz w:val="26"/>
                <w:szCs w:val="26"/>
              </w:rPr>
              <w:t>Dược phẩm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giấy xác nhận nội dung quảng cáo mỹ phẩm</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Mỹ phẩm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số tiếp nhận Phiếu công bố sản phẩm mỹ phẩm sản xuất trong nước</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Mỹ phẩm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Công bố cơ sở xét nghiệm đạt tiêu chuẩn an toàn sinh học cấp I, cấp II</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Y tế dự phòng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Công bố cơ sở đủ điều kiện tiêm chủng</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Y tế dự phòng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Công bố đủ điều kiện cung cấp dịch vụ diệt côn trùng, diệt khuẩn trong lĩnh vực gia dụng và y tế bằng chế phẩm</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Y tế dự phòng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Công bố đủ điều kiện sản xuất trang thiết bị y tế</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Trang thiết bị Y tế </w:t>
            </w:r>
          </w:p>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(Chỉ thực hiện DVC tại trang </w:t>
            </w:r>
            <w:hyperlink r:id="rId14" w:history="1">
              <w:r>
                <w:rPr>
                  <w:rStyle w:val="Hyperlink"/>
                  <w:rFonts w:ascii="Times New Roman" w:hAnsi="Times New Roman"/>
                  <w:sz w:val="26"/>
                  <w:szCs w:val="26"/>
                </w:rPr>
                <w:t>https://dmec.moh.gov.vn/</w:t>
              </w:r>
            </w:hyperlink>
            <w:r>
              <w:rPr>
                <w:rFonts w:ascii="Times New Roman" w:hAnsi="Times New Roman"/>
                <w:color w:val="000000" w:themeColor="text1"/>
                <w:sz w:val="26"/>
                <w:szCs w:val="26"/>
              </w:rPr>
              <w:t>. Không thực hiện trên cổng DVC Quốc gia)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Công bố tiêu chuẩn áp dụng đối với trang thiết bị y tế thuộc loại A, B</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Trang thiết bị Y tế</w:t>
            </w:r>
          </w:p>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 xml:space="preserve">(Chỉ thực hiện DVC tại trang </w:t>
            </w:r>
            <w:hyperlink r:id="rId15" w:history="1">
              <w:r>
                <w:rPr>
                  <w:rStyle w:val="Hyperlink"/>
                  <w:rFonts w:ascii="Times New Roman" w:hAnsi="Times New Roman"/>
                  <w:sz w:val="26"/>
                  <w:szCs w:val="26"/>
                </w:rPr>
                <w:t>https://dmec.moh.gov.vn/</w:t>
              </w:r>
            </w:hyperlink>
            <w:r>
              <w:rPr>
                <w:rFonts w:ascii="Times New Roman" w:hAnsi="Times New Roman"/>
                <w:color w:val="000000" w:themeColor="text1"/>
                <w:sz w:val="26"/>
                <w:szCs w:val="26"/>
              </w:rPr>
              <w:t>. Không thực hiện trên cổng DVC Quốc gia)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Công bố đủ điều kiện mua bán trang thiết bị y tế thuộc loại B, C, D</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Trang thiết bị Y tế</w:t>
            </w:r>
          </w:p>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 xml:space="preserve">(Chỉ thực hiện DVC tại trang </w:t>
            </w:r>
            <w:hyperlink r:id="rId16" w:history="1">
              <w:r>
                <w:rPr>
                  <w:rStyle w:val="Hyperlink"/>
                  <w:rFonts w:ascii="Times New Roman" w:hAnsi="Times New Roman"/>
                  <w:sz w:val="26"/>
                  <w:szCs w:val="26"/>
                </w:rPr>
                <w:t>https://dmec.moh.gov.vn/</w:t>
              </w:r>
            </w:hyperlink>
            <w:r>
              <w:rPr>
                <w:rFonts w:ascii="Times New Roman" w:hAnsi="Times New Roman"/>
                <w:color w:val="000000" w:themeColor="text1"/>
                <w:sz w:val="26"/>
                <w:szCs w:val="26"/>
              </w:rPr>
              <w:t>. Không thực hiện trên cổng DVC Quốc gia)</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lần đầu chứng chỉ hành nghề khám bệnh, chữa bệnh đối với người Việt Nam thuộc thẩm quyền của Sở Y tế</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Khám bệnh, chữa bệnh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lại Chứng chỉ hành nghề khám bệnh, chữa bệnh đối với người Việt Nam bị mất hoặc bị hư hỏng hoặc bị thu hồi chứng chỉ hành nghề theo quy định tại điểm a, b Khoản 1 Điều 29 Luật Khám bệnh, chữa bệnh thuộc thẩm quyền của Sở Y tế</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Khám bệnh, chữa bệnh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bổ sung phạm vi hoạt động chuyên môn trong chứng chỉ hành nghề thuộc thẩm quyền của Sở Y tế</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Khám bệnh, chữa bệnh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thay đổi phạm vi hoạt động chuyên môn trong chứng chỉ hành nghề khám bệnh, chữa bệnh thuộc thẩm quyền của Sở Y tế</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Khám bệnh, chữa bệnh</w:t>
            </w:r>
          </w:p>
          <w:p>
            <w:pPr>
              <w:spacing w:before="20" w:after="20" w:line="240" w:lineRule="auto"/>
              <w:ind w:left="57" w:right="57"/>
              <w:jc w:val="both"/>
              <w:rPr>
                <w:rFonts w:ascii="Times New Roman" w:hAnsi="Times New Roman"/>
                <w:b/>
                <w:color w:val="000000" w:themeColor="text1"/>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Giấy phép hoạt động đối với cơ sở khám bệnh, chữa bệnh khi thay đổi tên cơ sở khám bệnh, chữa bệnh thuộc thẩm quyền của Sở Y tế</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Khám bệnh, chữa bệnh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Điều chỉnh Giấy phép hoạt động đối với cơ sở khám bệnh, chữa bệnh khi thay đổi quy mô giường bệnh hoặc cơ cấu tổ chức hoặc phạm vi hoạt động chuyên môn thuộc thẩm quyền Sở Y tế</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Khám bệnh, chữa bệnh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giấy phép hoạt động đối với cơ sở khám bệnh, chữa bệnh khi thay đổi người chịu trách nhiệm chuyên môn của cơ sở khám bệnh, chữa bệnh thuộc thẩm quyền của Sở Y tế</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Khám bệnh, chữa bệnh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Công bố đủ điều kiện thực hiện khám sức khỏe cơ sở khám bệnh, chữa bệnh thuộc thẩm quyền của Sở Y tế</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Khám bệnh, chữa bệnh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Phê duyệt lần đầu danh mục kỹ thuật của các cơ sở khám bệnh, chữa bệnh thuộc thẩm quyền quản lý của Sở Y tế</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Khám bệnh, chữa bệnh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Phê duyệt bổ sung danh mục kỹ thuật của các cơ sở khám bệnh, chữa bệnh thuộc thẩm quyền quản lý của Sở Y tế</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Khám bệnh, chữa bệnh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Cấp Giấy chứng nhận là lương y cho các đối tượng quy định tại Khoản 5, Điều 1, Thông tư số 29/2015/TT-BYT</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Khám bệnh, chữa bệnh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Cho phép Đoàn khám bệnh, chữa bệnh trong nước tổ chức khám bệnh, chữa bệnh nhân đạo tại cơ sở khám bệnh, chữa bệnh trực thuộc Sở Y tế</w:t>
            </w:r>
          </w:p>
        </w:tc>
        <w:tc>
          <w:tcPr>
            <w:tcW w:w="2693" w:type="dxa"/>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Khám bệnh, chữa bệnh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color w:val="000000" w:themeColor="text1"/>
                <w:sz w:val="26"/>
                <w:szCs w:val="26"/>
              </w:rPr>
            </w:pPr>
            <w:r>
              <w:rPr>
                <w:rFonts w:ascii="Times New Roman" w:hAnsi="Times New Roman"/>
                <w:color w:val="000000" w:themeColor="text1"/>
                <w:sz w:val="26"/>
                <w:szCs w:val="26"/>
              </w:rPr>
              <w:t>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2693" w:type="dxa"/>
            <w:vAlign w:val="center"/>
          </w:tcPr>
          <w:p>
            <w:pPr>
              <w:spacing w:before="20" w:after="20" w:line="240" w:lineRule="auto"/>
              <w:ind w:left="57" w:right="57"/>
              <w:jc w:val="both"/>
              <w:rPr>
                <w:rFonts w:ascii="Times New Roman" w:hAnsi="Times New Roman"/>
                <w:b/>
                <w:color w:val="000000" w:themeColor="text1"/>
                <w:sz w:val="26"/>
                <w:szCs w:val="26"/>
              </w:rPr>
            </w:pPr>
            <w:r>
              <w:rPr>
                <w:rFonts w:ascii="Times New Roman" w:hAnsi="Times New Roman"/>
                <w:color w:val="000000" w:themeColor="text1"/>
                <w:sz w:val="26"/>
                <w:szCs w:val="26"/>
              </w:rPr>
              <w:t>Đào tạo, nghiên cứu khoa học và CNTT</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XVI</w:t>
            </w:r>
          </w:p>
        </w:tc>
        <w:tc>
          <w:tcPr>
            <w:tcW w:w="5466" w:type="dxa"/>
            <w:shd w:val="clear" w:color="auto" w:fill="auto"/>
            <w:vAlign w:val="center"/>
          </w:tcPr>
          <w:p>
            <w:pPr>
              <w:spacing w:before="20" w:after="20" w:line="240" w:lineRule="auto"/>
              <w:ind w:left="57" w:right="57"/>
              <w:rPr>
                <w:rFonts w:ascii="Times New Roman" w:hAnsi="Times New Roman"/>
                <w:b/>
                <w:sz w:val="26"/>
                <w:szCs w:val="26"/>
              </w:rPr>
            </w:pPr>
            <w:r>
              <w:rPr>
                <w:rFonts w:ascii="Times New Roman" w:hAnsi="Times New Roman"/>
                <w:b/>
                <w:sz w:val="26"/>
                <w:szCs w:val="26"/>
              </w:rPr>
              <w:t>SỞ THÔNG TIN VÀ TRUYỀN THÔNG</w:t>
            </w:r>
          </w:p>
        </w:tc>
        <w:tc>
          <w:tcPr>
            <w:tcW w:w="2693" w:type="dxa"/>
            <w:vAlign w:val="center"/>
          </w:tcPr>
          <w:p>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15</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rPr>
                <w:rFonts w:ascii="Times New Roman" w:eastAsia="Times New Roman" w:hAnsi="Times New Roman"/>
                <w:sz w:val="26"/>
                <w:szCs w:val="26"/>
              </w:rPr>
            </w:pPr>
            <w:r>
              <w:rPr>
                <w:rFonts w:ascii="Times New Roman" w:eastAsia="Times New Roman" w:hAnsi="Times New Roman"/>
                <w:sz w:val="26"/>
                <w:szCs w:val="26"/>
              </w:rPr>
              <w:t>Cấp giấy phép xuất bản bản tin (địa phương)</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Báo chí</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rPr>
                <w:rFonts w:ascii="Times New Roman" w:eastAsia="Times New Roman" w:hAnsi="Times New Roman"/>
                <w:sz w:val="26"/>
                <w:szCs w:val="26"/>
              </w:rPr>
            </w:pPr>
            <w:r>
              <w:rPr>
                <w:rFonts w:ascii="Times New Roman" w:eastAsia="Times New Roman" w:hAnsi="Times New Roman"/>
                <w:sz w:val="26"/>
                <w:szCs w:val="26"/>
              </w:rPr>
              <w:t>Cho phép họp báo (trong nước)</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Báo chí</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rPr>
                <w:rFonts w:ascii="Times New Roman" w:eastAsia="Times New Roman" w:hAnsi="Times New Roman"/>
                <w:sz w:val="26"/>
                <w:szCs w:val="26"/>
              </w:rPr>
            </w:pPr>
            <w:r>
              <w:rPr>
                <w:rFonts w:ascii="Times New Roman" w:eastAsia="Times New Roman" w:hAnsi="Times New Roman"/>
                <w:sz w:val="26"/>
                <w:szCs w:val="26"/>
              </w:rPr>
              <w:t>Cho phép họp báo (nước ngoài).</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Báo chí</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rPr>
                <w:rFonts w:ascii="Times New Roman" w:eastAsia="Times New Roman" w:hAnsi="Times New Roman"/>
                <w:sz w:val="26"/>
                <w:szCs w:val="26"/>
              </w:rPr>
            </w:pPr>
            <w:r>
              <w:rPr>
                <w:rFonts w:ascii="Times New Roman" w:eastAsia="Times New Roman" w:hAnsi="Times New Roman"/>
                <w:sz w:val="26"/>
                <w:szCs w:val="26"/>
              </w:rPr>
              <w:t>Chấp thuận trưng bày tranh, ảnh và các hình thức thông tin khác bên ngoài trụ sở cơ quan đại diện nước ngoài, tổ chức nước ngoài</w:t>
            </w:r>
            <w:r>
              <w:rPr>
                <w:rFonts w:ascii="Times New Roman" w:eastAsia="Times New Roman" w:hAnsi="Times New Roman"/>
                <w:i/>
                <w:iCs/>
                <w:sz w:val="26"/>
                <w:szCs w:val="26"/>
              </w:rPr>
              <w:t>.</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Xuất bản, In, Phát hành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rPr>
                <w:rFonts w:ascii="Times New Roman" w:eastAsia="Times New Roman" w:hAnsi="Times New Roman"/>
                <w:sz w:val="26"/>
                <w:szCs w:val="26"/>
              </w:rPr>
            </w:pPr>
            <w:r>
              <w:rPr>
                <w:rFonts w:ascii="Times New Roman" w:eastAsia="Times New Roman" w:hAnsi="Times New Roman"/>
                <w:sz w:val="26"/>
                <w:szCs w:val="26"/>
              </w:rPr>
              <w:t>Cấp giấy phép xuất bản tài liệu không kinh doanh (địa phương)</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Xuất bản, In, Phát hành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rPr>
                <w:rFonts w:ascii="Times New Roman" w:eastAsia="Times New Roman" w:hAnsi="Times New Roman"/>
                <w:sz w:val="26"/>
                <w:szCs w:val="26"/>
              </w:rPr>
            </w:pPr>
            <w:r>
              <w:rPr>
                <w:rFonts w:ascii="Times New Roman" w:eastAsia="Times New Roman" w:hAnsi="Times New Roman"/>
                <w:sz w:val="26"/>
                <w:szCs w:val="26"/>
              </w:rPr>
              <w:t>Cấp giấy phép tổ chức triển lãm, hội chợ xuất bản phẩm</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Xuất bản, In, Phát hành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rPr>
                <w:rFonts w:ascii="Times New Roman" w:eastAsia="Times New Roman" w:hAnsi="Times New Roman"/>
                <w:sz w:val="26"/>
                <w:szCs w:val="26"/>
              </w:rPr>
            </w:pPr>
            <w:r>
              <w:rPr>
                <w:rFonts w:ascii="Times New Roman" w:eastAsia="Times New Roman" w:hAnsi="Times New Roman"/>
                <w:sz w:val="26"/>
                <w:szCs w:val="26"/>
              </w:rPr>
              <w:t>Cấp giấy phép nhập khẩu xuất bản phẩm không kinh doanh</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Xuất bản, In, Phát hành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rPr>
                <w:rFonts w:ascii="Times New Roman" w:eastAsia="Times New Roman" w:hAnsi="Times New Roman"/>
                <w:sz w:val="26"/>
                <w:szCs w:val="26"/>
              </w:rPr>
            </w:pPr>
            <w:r>
              <w:rPr>
                <w:rFonts w:ascii="Times New Roman" w:eastAsia="Times New Roman" w:hAnsi="Times New Roman"/>
                <w:sz w:val="26"/>
                <w:szCs w:val="26"/>
              </w:rPr>
              <w:t>Xác nhận đăng ký hoạt động in</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Xuất bản, In, Phát hành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rPr>
                <w:rFonts w:ascii="Times New Roman" w:eastAsia="Times New Roman" w:hAnsi="Times New Roman"/>
                <w:sz w:val="26"/>
                <w:szCs w:val="26"/>
              </w:rPr>
            </w:pPr>
            <w:r>
              <w:rPr>
                <w:rFonts w:ascii="Times New Roman" w:eastAsia="Times New Roman" w:hAnsi="Times New Roman"/>
                <w:sz w:val="26"/>
                <w:szCs w:val="26"/>
              </w:rPr>
              <w:t>Cấp đổi giấy phép hoạt động in xuất bản phẩm</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Xuất bản, In, Phát hành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rPr>
                <w:rFonts w:ascii="Times New Roman" w:eastAsia="Times New Roman" w:hAnsi="Times New Roman"/>
                <w:sz w:val="26"/>
                <w:szCs w:val="26"/>
              </w:rPr>
            </w:pPr>
            <w:r>
              <w:rPr>
                <w:rFonts w:ascii="Times New Roman" w:eastAsia="Times New Roman" w:hAnsi="Times New Roman"/>
                <w:sz w:val="26"/>
                <w:szCs w:val="26"/>
              </w:rPr>
              <w:t>Cấp văn bản xác nhận thông báo hoạt động bưu chính</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Bưu chính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rPr>
                <w:rFonts w:ascii="Times New Roman" w:eastAsia="Times New Roman" w:hAnsi="Times New Roman"/>
                <w:sz w:val="26"/>
                <w:szCs w:val="26"/>
              </w:rPr>
            </w:pPr>
            <w:r>
              <w:rPr>
                <w:rFonts w:ascii="Times New Roman" w:eastAsia="Times New Roman" w:hAnsi="Times New Roman"/>
                <w:sz w:val="26"/>
                <w:szCs w:val="26"/>
              </w:rPr>
              <w:t>Gia hạn giấy phép thiết lập trang thông tin điện tử tổng hợp</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Phát thanh, Truyền hình và Thông tin điện tử</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highlight w:val="yellow"/>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rPr>
                <w:rFonts w:ascii="Times New Roman" w:eastAsia="Times New Roman" w:hAnsi="Times New Roman"/>
                <w:sz w:val="26"/>
                <w:szCs w:val="26"/>
              </w:rPr>
            </w:pPr>
            <w:r>
              <w:rPr>
                <w:rFonts w:ascii="Times New Roman" w:eastAsia="Times New Roman" w:hAnsi="Times New Roman"/>
                <w:sz w:val="26"/>
                <w:szCs w:val="26"/>
              </w:rPr>
              <w:t>Cấp giấy phép thiết lập trang thông tin điện tử tổng hợp</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Phát thanh, Truyền hình và Thông tin điện tử</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highlight w:val="yellow"/>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jc w:val="both"/>
              <w:rPr>
                <w:rFonts w:ascii="Times New Roman" w:hAnsi="Times New Roman"/>
                <w:sz w:val="26"/>
                <w:szCs w:val="26"/>
              </w:rPr>
            </w:pPr>
            <w:hyperlink r:id="rId17" w:history="1">
              <w:r>
                <w:rPr>
                  <w:rFonts w:ascii="Times New Roman" w:hAnsi="Times New Roman"/>
                  <w:sz w:val="26"/>
                  <w:szCs w:val="26"/>
                </w:rPr>
                <w:t>Sửa đổi, bổ sung giấy phép thiết lập trang thông tin điện tử tổng hợ</w:t>
              </w:r>
            </w:hyperlink>
            <w:r>
              <w:rPr>
                <w:rFonts w:ascii="Times New Roman" w:hAnsi="Times New Roman"/>
                <w:sz w:val="26"/>
                <w:szCs w:val="26"/>
              </w:rPr>
              <w:t>p</w:t>
            </w:r>
          </w:p>
        </w:tc>
        <w:tc>
          <w:tcPr>
            <w:tcW w:w="2693" w:type="dxa"/>
            <w:vAlign w:val="center"/>
          </w:tcPr>
          <w:p>
            <w:pPr>
              <w:spacing w:before="20" w:after="20" w:line="240" w:lineRule="auto"/>
              <w:jc w:val="both"/>
              <w:rPr>
                <w:rFonts w:ascii="Times New Roman" w:hAnsi="Times New Roman"/>
                <w:sz w:val="26"/>
                <w:szCs w:val="26"/>
              </w:rPr>
            </w:pPr>
            <w:r>
              <w:rPr>
                <w:rFonts w:ascii="Times New Roman" w:hAnsi="Times New Roman"/>
                <w:sz w:val="26"/>
                <w:szCs w:val="26"/>
              </w:rPr>
              <w:t>Phát thanh, Truyền hình và Thông tin điện tử</w:t>
            </w:r>
          </w:p>
        </w:tc>
        <w:tc>
          <w:tcPr>
            <w:tcW w:w="960" w:type="dxa"/>
            <w:shd w:val="clear" w:color="auto" w:fill="auto"/>
            <w:vAlign w:val="center"/>
          </w:tcPr>
          <w:p>
            <w:pPr>
              <w:spacing w:before="20" w:after="20" w:line="240" w:lineRule="auto"/>
              <w:ind w:left="57" w:right="57"/>
              <w:jc w:val="center"/>
              <w:rPr>
                <w:rFonts w:ascii="Times New Roman" w:hAnsi="Times New Roman"/>
                <w:sz w:val="20"/>
                <w:szCs w:val="20"/>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jc w:val="both"/>
              <w:rPr>
                <w:rFonts w:ascii="Times New Roman" w:hAnsi="Times New Roman"/>
                <w:sz w:val="26"/>
                <w:szCs w:val="26"/>
              </w:rPr>
            </w:pPr>
            <w:hyperlink r:id="rId18" w:history="1">
              <w:r>
                <w:rPr>
                  <w:rFonts w:ascii="Times New Roman" w:hAnsi="Times New Roman"/>
                  <w:sz w:val="26"/>
                  <w:szCs w:val="26"/>
                </w:rPr>
                <w:t>Cấp lại giấy phép thiết lập trang thông tin điện tử tổng hợp</w:t>
              </w:r>
            </w:hyperlink>
          </w:p>
        </w:tc>
        <w:tc>
          <w:tcPr>
            <w:tcW w:w="2693" w:type="dxa"/>
            <w:vAlign w:val="center"/>
          </w:tcPr>
          <w:p>
            <w:pPr>
              <w:spacing w:before="20" w:after="20" w:line="240" w:lineRule="auto"/>
              <w:jc w:val="both"/>
              <w:rPr>
                <w:rFonts w:ascii="Times New Roman" w:hAnsi="Times New Roman"/>
                <w:sz w:val="26"/>
                <w:szCs w:val="26"/>
              </w:rPr>
            </w:pPr>
            <w:r>
              <w:rPr>
                <w:rFonts w:ascii="Times New Roman" w:hAnsi="Times New Roman"/>
                <w:sz w:val="26"/>
                <w:szCs w:val="26"/>
              </w:rPr>
              <w:t>Phát thanh, Truyền hình và Thông tin điện tử</w:t>
            </w:r>
          </w:p>
        </w:tc>
        <w:tc>
          <w:tcPr>
            <w:tcW w:w="960" w:type="dxa"/>
            <w:shd w:val="clear" w:color="auto" w:fill="auto"/>
            <w:vAlign w:val="center"/>
          </w:tcPr>
          <w:p>
            <w:pPr>
              <w:spacing w:before="20" w:after="20" w:line="240" w:lineRule="auto"/>
              <w:ind w:left="57" w:right="57"/>
              <w:jc w:val="center"/>
              <w:rPr>
                <w:rFonts w:ascii="Times New Roman" w:hAnsi="Times New Roman"/>
                <w:sz w:val="20"/>
                <w:szCs w:val="20"/>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rPr>
                <w:rFonts w:ascii="Times New Roman" w:eastAsia="Times New Roman" w:hAnsi="Times New Roman"/>
                <w:sz w:val="26"/>
                <w:szCs w:val="26"/>
              </w:rPr>
            </w:pPr>
            <w:r>
              <w:rPr>
                <w:rFonts w:ascii="Times New Roman" w:eastAsia="Times New Roman" w:hAnsi="Times New Roman"/>
                <w:sz w:val="26"/>
                <w:szCs w:val="26"/>
              </w:rPr>
              <w:t>Thông báo thay đổi chủ sở hữu; địa chỉ trụ sở chính của tổ chức, doanh nghiệp đã được cấp Giấy phép thiết lập trang thông tin điện tử tổng hợp.</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Phát thanh, Truyền hình và Thông tin điện tử</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highlight w:val="yellow"/>
              </w:rPr>
            </w:pPr>
          </w:p>
        </w:tc>
      </w:tr>
      <w:tr>
        <w:trPr>
          <w:trHeight w:val="379"/>
          <w:tblHeader/>
        </w:trPr>
        <w:tc>
          <w:tcPr>
            <w:tcW w:w="908" w:type="dxa"/>
            <w:shd w:val="clear" w:color="auto" w:fill="auto"/>
            <w:vAlign w:val="center"/>
          </w:tcPr>
          <w:p>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XVII</w:t>
            </w:r>
          </w:p>
        </w:tc>
        <w:tc>
          <w:tcPr>
            <w:tcW w:w="5466" w:type="dxa"/>
            <w:shd w:val="clear" w:color="auto" w:fill="auto"/>
            <w:vAlign w:val="center"/>
          </w:tcPr>
          <w:p>
            <w:pPr>
              <w:widowControl w:val="0"/>
              <w:spacing w:before="20" w:after="20" w:line="240" w:lineRule="auto"/>
              <w:ind w:left="57" w:right="57" w:firstLine="76"/>
              <w:rPr>
                <w:rFonts w:ascii="Times New Roman" w:hAnsi="Times New Roman"/>
                <w:b/>
                <w:sz w:val="26"/>
                <w:szCs w:val="26"/>
              </w:rPr>
            </w:pPr>
            <w:r>
              <w:rPr>
                <w:rFonts w:ascii="Times New Roman" w:hAnsi="Times New Roman"/>
                <w:b/>
                <w:sz w:val="26"/>
                <w:szCs w:val="26"/>
              </w:rPr>
              <w:t>BAN QUẢN LÝ KKT TỈNH</w:t>
            </w:r>
          </w:p>
        </w:tc>
        <w:tc>
          <w:tcPr>
            <w:tcW w:w="2693" w:type="dxa"/>
            <w:vAlign w:val="center"/>
          </w:tcPr>
          <w:p>
            <w:pPr>
              <w:spacing w:before="20" w:after="20" w:line="240" w:lineRule="auto"/>
              <w:ind w:left="57" w:right="57"/>
              <w:jc w:val="both"/>
              <w:rPr>
                <w:rFonts w:ascii="Times New Roman" w:hAnsi="Times New Roman"/>
                <w:b/>
                <w:sz w:val="26"/>
                <w:szCs w:val="26"/>
                <w:lang w:val="nl-NL"/>
              </w:rPr>
            </w:pPr>
          </w:p>
        </w:tc>
        <w:tc>
          <w:tcPr>
            <w:tcW w:w="960" w:type="dxa"/>
            <w:shd w:val="clear" w:color="auto" w:fill="auto"/>
            <w:vAlign w:val="center"/>
          </w:tcPr>
          <w:p>
            <w:pPr>
              <w:spacing w:before="20" w:after="20" w:line="240" w:lineRule="auto"/>
              <w:ind w:left="57" w:right="57"/>
              <w:jc w:val="center"/>
              <w:rPr>
                <w:rFonts w:ascii="Times New Roman" w:hAnsi="Times New Roman"/>
                <w:b/>
                <w:sz w:val="26"/>
                <w:szCs w:val="26"/>
                <w:lang w:val="nl-NL"/>
              </w:rPr>
            </w:pPr>
            <w:r>
              <w:rPr>
                <w:rFonts w:ascii="Times New Roman" w:hAnsi="Times New Roman"/>
                <w:b/>
                <w:sz w:val="26"/>
                <w:szCs w:val="26"/>
                <w:lang w:val="nl-NL"/>
              </w:rPr>
              <w:t>35</w:t>
            </w: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Quyết định chủ trương đầu tư của Ủy ban nhân dân cấp tỉnh (đối với dự án không thuộc diện cấp Giấy chứng nhận đăng ký đầu tư)</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Điều chỉnh quyết định chủ trương đầu tư của Thủ tướng Chính phủ, UBND cấp tỉnh đối với dự án đầu tư không thuộc diện cấp Giấy chứng nhận đăng ký đầu tư</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chứng nhận đăng ký đầu tư đối với dự án không thuộc diện quyết định chủ trương đầu tư</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chứng nhận đăng ký đầu tư đối với dự án thuộc diện quyết định chủ trương đầu tư</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Điều chỉnh tên dự án đầu tư, tên và địa chỉ nhà đầu tư trong Giấy chứng nhận đăng ký đầu tư</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Điều chỉnh nội dung dự án đầu tư trong Giấy chứng nhận đăng ký đầu tư (đối với trường hợp không điều chỉnh quyết định chủ trương đầu tư)</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Điều chỉnh Giấy chứng nhận đăng ký đầu tư đối với dự án đầu tư thuộc diện điều chỉnh quyết định chủ trương đầu tư của Ủy ban nhân dân cấp tỉnh</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Điều chỉnh Giấy chứng nhận đăng ký đầu tư đối với dự án đầu tư thuộc diện điều chỉnh quyết định chủ trương đầu tư của Thủ tướng Chính phủ</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Chuyển nhượng dự án đầu tư</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Điều chỉnh dự án đầu tư trong trường hợp chia, tách, hợp nhất, sáp nhập, chuyển đổi loại hình tổ chức kinh tế</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lại Giấy chứng nhận đăng ký đầu tư</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Nộp lại Giấy chứng nhận đăng ký đầu tư</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Giãn tiến độ đầu tư</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Chấm dứt hoạt động của dự án đầu tư</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Đổi Giấy chứng nhận đăng ký đầu tư cho dự án hoạt động theo Giấy phép đầu tư, Giấy chứng nhận đầu tư hoặc giấy tờ khác có giá trị pháp lý tương đương</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Quyết định chủ trương đầu tư của Ban Quản lý</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 xml:space="preserve">Điều chỉnh quyết định chủ trương đầu tư của Ban Quản lý </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Đầu tư trong nước</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phép lao động cho người nước ngoài làm việc tại Việt Nam</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lại Giấy phép lao động cho người nước ngoài làm việc tại Việt Nam</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Xác nhận người lao động nước ngoài không thuộc diện cấp Giấy phép lao động</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Việc làm</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Đăng ký Nội quy lao động của doanh nghiệp</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Lao động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phép thành lập Văn phòng đại diện của Thương nhân nước ngoài tại Việt Nam</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Thương mại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Giấy phép xây dựng cho công trình thuộc dự án (Đối với công trình không thuộc khu công nghiệp, khu chế xuất, khu công nghệ cao đã có quy hoạch chi tiết tỷ lệ 1/500 được cơ quan có thẩm quyền phê duyệt)</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Điều chỉnh Giấy phép xây dựng cho công trình thuộc dự án</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Gia hạn Giấy phép xây dựng cho công trình thuộc dự án</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Cấp lại Giấy phép xây dựng cho công trình thuộc dự án</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Kiểm tra công tác nghiệm thu đưa công trình vào sử dụng</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Thẩm định Báo cáo kinh tế - kỹ thuật/Báo cáo kinh tế - kỹ thuật điều chỉnh</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Thẩm định dự án/dự án điều chỉnh hoặc thẩm định thiết kế cơ sở/thiết kế cơ sở điều chỉnh</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Thẩm định thiết kế, dự toán xây dựng/ thiết kế, dự toán xây dựng điều chỉnh</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Xây dựng</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Giao đất, cho thuê đất không thông qua hình thức đấu giá quyền sử dụng đất</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Đất đai</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Thẩm định, chấp thuận bản vẽ Tổng mặt bằng thuộc dự án đầu tư xây dựng công trình</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Quy hoạch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Thẩm định, chấp thuận bản vẽ điều chỉnh Tổng mặt bằng thuộc dự án đầu tư xây dựng công trình</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Quy hoạch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Thẩm định, phê duyệt nhiệm vụ quy hoạch chi tiết (tỷ lệ 1/500)</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Quy hoạch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r>
        <w:trPr>
          <w:trHeight w:val="379"/>
          <w:tblHeader/>
        </w:trPr>
        <w:tc>
          <w:tcPr>
            <w:tcW w:w="908" w:type="dxa"/>
            <w:shd w:val="clear" w:color="auto" w:fill="auto"/>
            <w:vAlign w:val="center"/>
          </w:tcPr>
          <w:p>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Thẩm định, phê duyệt đồ án quy hoạch chi tiết (tỷ lệ 1/500)</w:t>
            </w:r>
          </w:p>
        </w:tc>
        <w:tc>
          <w:tcPr>
            <w:tcW w:w="2693" w:type="dxa"/>
            <w:vAlign w:val="center"/>
          </w:tcPr>
          <w:p>
            <w:pPr>
              <w:spacing w:before="20" w:after="20" w:line="240" w:lineRule="auto"/>
              <w:ind w:left="57" w:right="57"/>
              <w:jc w:val="both"/>
              <w:rPr>
                <w:rFonts w:ascii="Times New Roman" w:hAnsi="Times New Roman"/>
                <w:sz w:val="26"/>
                <w:szCs w:val="26"/>
              </w:rPr>
            </w:pPr>
            <w:r>
              <w:rPr>
                <w:rFonts w:ascii="Times New Roman" w:hAnsi="Times New Roman"/>
                <w:sz w:val="26"/>
                <w:szCs w:val="26"/>
              </w:rPr>
              <w:t>Quy hoạch</w:t>
            </w:r>
          </w:p>
        </w:tc>
        <w:tc>
          <w:tcPr>
            <w:tcW w:w="960" w:type="dxa"/>
            <w:shd w:val="clear" w:color="auto" w:fill="auto"/>
            <w:vAlign w:val="center"/>
          </w:tcPr>
          <w:p>
            <w:pPr>
              <w:spacing w:before="20" w:after="20" w:line="240" w:lineRule="auto"/>
              <w:ind w:left="57" w:right="57"/>
              <w:jc w:val="center"/>
              <w:rPr>
                <w:rFonts w:ascii="Times New Roman" w:hAnsi="Times New Roman"/>
                <w:sz w:val="26"/>
                <w:szCs w:val="26"/>
              </w:rPr>
            </w:pPr>
          </w:p>
        </w:tc>
      </w:tr>
    </w:tbl>
    <w:p>
      <w:pPr>
        <w:spacing w:after="0" w:line="240" w:lineRule="auto"/>
        <w:ind w:left="57" w:right="57"/>
        <w:jc w:val="right"/>
        <w:rPr>
          <w:rFonts w:ascii="Times New Roman" w:hAnsi="Times New Roman"/>
          <w:sz w:val="28"/>
          <w:szCs w:val="28"/>
        </w:rPr>
      </w:pPr>
    </w:p>
    <w:sectPr>
      <w:headerReference w:type="default" r:id="rId19"/>
      <w:footerReference w:type="default" r:id="rId20"/>
      <w:headerReference w:type="first" r:id="rId21"/>
      <w:type w:val="continuous"/>
      <w:pgSz w:w="11907" w:h="16840" w:code="9"/>
      <w:pgMar w:top="1134" w:right="851" w:bottom="851" w:left="1134" w:header="425"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47006"/>
      <w:docPartObj>
        <w:docPartGallery w:val="Page Numbers (Top of Page)"/>
        <w:docPartUnique/>
      </w:docPartObj>
    </w:sdtPr>
    <w:sdtEndPr>
      <w:rPr>
        <w:rFonts w:ascii="Times New Roman" w:hAnsi="Times New Roman"/>
        <w:noProof/>
        <w:sz w:val="26"/>
        <w:szCs w:val="26"/>
      </w:rPr>
    </w:sdtEndPr>
    <w:sdtContent>
      <w:p>
        <w:pPr>
          <w:pStyle w:val="Header"/>
          <w:spacing w:after="0" w:line="240" w:lineRule="auto"/>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Pr>
            <w:rFonts w:ascii="Times New Roman" w:hAnsi="Times New Roman"/>
            <w:noProof/>
            <w:sz w:val="26"/>
            <w:szCs w:val="26"/>
          </w:rPr>
          <w:t>22</w:t>
        </w:r>
        <w:r>
          <w:rPr>
            <w:rFonts w:ascii="Times New Roman" w:hAnsi="Times New Roman"/>
            <w:noProof/>
            <w:sz w:val="26"/>
            <w:szCs w:val="26"/>
          </w:rPr>
          <w:fldChar w:fldCharType="end"/>
        </w:r>
      </w:p>
    </w:sdtContent>
  </w:sdt>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6F82"/>
    <w:multiLevelType w:val="hybridMultilevel"/>
    <w:tmpl w:val="5CC8F6BA"/>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55B39"/>
    <w:multiLevelType w:val="hybridMultilevel"/>
    <w:tmpl w:val="E9B8F97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D5E95"/>
    <w:multiLevelType w:val="hybridMultilevel"/>
    <w:tmpl w:val="AE9E7AF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F16E7"/>
    <w:multiLevelType w:val="hybridMultilevel"/>
    <w:tmpl w:val="8894139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E0CA9"/>
    <w:multiLevelType w:val="hybridMultilevel"/>
    <w:tmpl w:val="C7C8F25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1121E"/>
    <w:multiLevelType w:val="hybridMultilevel"/>
    <w:tmpl w:val="C1E8929A"/>
    <w:lvl w:ilvl="0" w:tplc="69E4A992">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5028D"/>
    <w:multiLevelType w:val="hybridMultilevel"/>
    <w:tmpl w:val="1B88A72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1239E"/>
    <w:multiLevelType w:val="hybridMultilevel"/>
    <w:tmpl w:val="21C4DC6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C7C79"/>
    <w:multiLevelType w:val="hybridMultilevel"/>
    <w:tmpl w:val="F8C2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466D7"/>
    <w:multiLevelType w:val="hybridMultilevel"/>
    <w:tmpl w:val="905A777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858AF"/>
    <w:multiLevelType w:val="hybridMultilevel"/>
    <w:tmpl w:val="EB1068A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670A25"/>
    <w:multiLevelType w:val="hybridMultilevel"/>
    <w:tmpl w:val="A0881C3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63478"/>
    <w:multiLevelType w:val="hybridMultilevel"/>
    <w:tmpl w:val="30D6E0F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080B48"/>
    <w:multiLevelType w:val="hybridMultilevel"/>
    <w:tmpl w:val="0156BD7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2590C"/>
    <w:multiLevelType w:val="hybridMultilevel"/>
    <w:tmpl w:val="BAA289C6"/>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87156"/>
    <w:multiLevelType w:val="hybridMultilevel"/>
    <w:tmpl w:val="7696CC7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22102"/>
    <w:multiLevelType w:val="hybridMultilevel"/>
    <w:tmpl w:val="204E9D2A"/>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030980"/>
    <w:multiLevelType w:val="hybridMultilevel"/>
    <w:tmpl w:val="23968DA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7"/>
  </w:num>
  <w:num w:numId="4">
    <w:abstractNumId w:val="15"/>
  </w:num>
  <w:num w:numId="5">
    <w:abstractNumId w:val="13"/>
  </w:num>
  <w:num w:numId="6">
    <w:abstractNumId w:val="2"/>
  </w:num>
  <w:num w:numId="7">
    <w:abstractNumId w:val="6"/>
  </w:num>
  <w:num w:numId="8">
    <w:abstractNumId w:val="14"/>
  </w:num>
  <w:num w:numId="9">
    <w:abstractNumId w:val="11"/>
  </w:num>
  <w:num w:numId="10">
    <w:abstractNumId w:val="3"/>
  </w:num>
  <w:num w:numId="11">
    <w:abstractNumId w:val="16"/>
  </w:num>
  <w:num w:numId="12">
    <w:abstractNumId w:val="4"/>
  </w:num>
  <w:num w:numId="13">
    <w:abstractNumId w:val="1"/>
  </w:num>
  <w:num w:numId="14">
    <w:abstractNumId w:val="7"/>
  </w:num>
  <w:num w:numId="15">
    <w:abstractNumId w:val="12"/>
  </w:num>
  <w:num w:numId="16">
    <w:abstractNumId w:val="0"/>
  </w:num>
  <w:num w:numId="17">
    <w:abstractNumId w:val="8"/>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keepNext/>
      <w:spacing w:before="120" w:after="120" w:line="360" w:lineRule="exact"/>
      <w:ind w:firstLine="567"/>
      <w:jc w:val="both"/>
      <w:outlineLvl w:val="0"/>
    </w:pPr>
    <w:rPr>
      <w:rFonts w:ascii="Times New Roman" w:hAnsi="Times New Roman"/>
      <w:i/>
      <w:iCs/>
      <w:sz w:val="24"/>
      <w:szCs w:val="24"/>
    </w:rPr>
  </w:style>
  <w:style w:type="paragraph" w:styleId="Heading2">
    <w:name w:val="heading 2"/>
    <w:basedOn w:val="Normal"/>
    <w:next w:val="Normal"/>
    <w:link w:val="Heading2Char"/>
    <w:uiPriority w:val="99"/>
    <w:qFormat/>
    <w:pPr>
      <w:keepNext/>
      <w:spacing w:before="120" w:after="120" w:line="360" w:lineRule="exact"/>
      <w:ind w:firstLine="567"/>
      <w:jc w:val="both"/>
      <w:outlineLvl w:val="1"/>
    </w:pPr>
    <w:rPr>
      <w:rFonts w:ascii="Times New Roman" w:hAnsi="Times New Roman"/>
      <w:b/>
      <w:bCs/>
      <w:sz w:val="24"/>
      <w:szCs w:val="24"/>
    </w:rPr>
  </w:style>
  <w:style w:type="paragraph" w:styleId="Heading3">
    <w:name w:val="heading 3"/>
    <w:basedOn w:val="Normal"/>
    <w:next w:val="Normal"/>
    <w:link w:val="Heading3Char"/>
    <w:uiPriority w:val="99"/>
    <w:qFormat/>
    <w:pPr>
      <w:keepNext/>
      <w:keepLines/>
      <w:spacing w:before="200" w:after="120" w:line="360" w:lineRule="exact"/>
      <w:ind w:firstLine="567"/>
      <w:jc w:val="both"/>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pPr>
      <w:keepNext/>
      <w:keepLines/>
      <w:spacing w:before="200" w:after="0" w:line="240" w:lineRule="auto"/>
      <w:outlineLvl w:val="3"/>
    </w:pPr>
    <w:rPr>
      <w:rFonts w:ascii="Cambria" w:eastAsia="Times New Roman"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tyle>
  <w:style w:type="paragraph" w:customStyle="1" w:styleId="CharCharCharCharCharCharCharCharCharCharCharCharChar">
    <w:name w:val="Char Char Char Char Char Char Char Char Char Char Char Char Char"/>
    <w:basedOn w:val="Normal"/>
    <w:semiHidden/>
    <w:pPr>
      <w:spacing w:after="160" w:line="240" w:lineRule="exact"/>
    </w:pPr>
    <w:rPr>
      <w:rFonts w:ascii="Arial" w:eastAsia="Times New Roman" w:hAnsi="Arial"/>
    </w:rPr>
  </w:style>
  <w:style w:type="table" w:styleId="TableGrid">
    <w:name w:val="Table Grid"/>
    <w:basedOn w:val="TableNormal"/>
    <w:uiPriority w:val="99"/>
    <w:rPr>
      <w:rFonts w:ascii="Times New Roman" w:eastAsiaTheme="minorHAnsi" w:hAnsi="Times New Roman"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Pr>
      <w:rFonts w:ascii="Times New Roman" w:hAnsi="Times New Roman"/>
      <w:i/>
      <w:iCs/>
      <w:sz w:val="24"/>
      <w:szCs w:val="24"/>
    </w:rPr>
  </w:style>
  <w:style w:type="character" w:customStyle="1" w:styleId="Heading2Char">
    <w:name w:val="Heading 2 Char"/>
    <w:basedOn w:val="DefaultParagraphFont"/>
    <w:link w:val="Heading2"/>
    <w:uiPriority w:val="99"/>
    <w:rPr>
      <w:rFonts w:ascii="Times New Roman" w:hAnsi="Times New Roman"/>
      <w:b/>
      <w:bCs/>
      <w:sz w:val="24"/>
      <w:szCs w:val="24"/>
    </w:rPr>
  </w:style>
  <w:style w:type="character" w:customStyle="1" w:styleId="Heading3Char">
    <w:name w:val="Heading 3 Char"/>
    <w:basedOn w:val="DefaultParagraphFont"/>
    <w:link w:val="Heading3"/>
    <w:uiPriority w:val="99"/>
    <w:rPr>
      <w:rFonts w:ascii="Cambria" w:hAnsi="Cambria"/>
      <w:b/>
      <w:bCs/>
      <w:color w:val="4F81BD"/>
      <w:sz w:val="24"/>
      <w:szCs w:val="24"/>
    </w:rPr>
  </w:style>
  <w:style w:type="character" w:customStyle="1" w:styleId="Heading4Char">
    <w:name w:val="Heading 4 Char"/>
    <w:basedOn w:val="DefaultParagraphFont"/>
    <w:link w:val="Heading4"/>
    <w:uiPriority w:val="9"/>
    <w:rPr>
      <w:rFonts w:ascii="Cambria" w:eastAsia="Times New Roman" w:hAnsi="Cambria"/>
      <w:b/>
      <w:bCs/>
      <w:i/>
      <w:iCs/>
      <w:color w:val="4F81BD"/>
      <w:sz w:val="28"/>
      <w:szCs w:val="28"/>
    </w:rPr>
  </w:style>
  <w:style w:type="paragraph" w:styleId="Caption">
    <w:name w:val="caption"/>
    <w:basedOn w:val="Normal"/>
    <w:next w:val="Normal"/>
    <w:uiPriority w:val="99"/>
    <w:qFormat/>
    <w:pPr>
      <w:spacing w:before="120" w:after="120" w:line="360" w:lineRule="exact"/>
      <w:ind w:firstLine="567"/>
      <w:jc w:val="center"/>
    </w:pPr>
    <w:rPr>
      <w:rFonts w:ascii="Times New Roman" w:eastAsia="Times New Roman" w:hAnsi="Times New Roman"/>
      <w:b/>
      <w:bCs/>
      <w:sz w:val="34"/>
      <w:szCs w:val="24"/>
    </w:rPr>
  </w:style>
  <w:style w:type="paragraph" w:styleId="BodyText">
    <w:name w:val="Body Text"/>
    <w:basedOn w:val="Normal"/>
    <w:link w:val="BodyTextChar"/>
    <w:uiPriority w:val="1"/>
    <w:qFormat/>
    <w:pPr>
      <w:spacing w:before="120" w:after="120" w:line="360" w:lineRule="exact"/>
      <w:ind w:firstLine="567"/>
      <w:jc w:val="center"/>
    </w:pPr>
    <w:rPr>
      <w:rFonts w:ascii="Times New Roman" w:hAnsi="Times New Roman"/>
      <w:sz w:val="24"/>
      <w:szCs w:val="24"/>
    </w:rPr>
  </w:style>
  <w:style w:type="character" w:customStyle="1" w:styleId="BodyTextChar">
    <w:name w:val="Body Text Char"/>
    <w:basedOn w:val="DefaultParagraphFont"/>
    <w:link w:val="BodyText"/>
    <w:uiPriority w:val="1"/>
    <w:rPr>
      <w:rFonts w:ascii="Times New Roman" w:hAnsi="Times New Roman"/>
      <w:sz w:val="24"/>
      <w:szCs w:val="24"/>
    </w:rPr>
  </w:style>
  <w:style w:type="paragraph" w:styleId="BodyText2">
    <w:name w:val="Body Text 2"/>
    <w:basedOn w:val="Normal"/>
    <w:link w:val="BodyText2Char"/>
    <w:uiPriority w:val="99"/>
    <w:pPr>
      <w:spacing w:before="80" w:after="80" w:line="360" w:lineRule="exact"/>
      <w:ind w:firstLine="567"/>
      <w:jc w:val="both"/>
    </w:pPr>
    <w:rPr>
      <w:rFonts w:ascii="Times New Roman" w:hAnsi="Times New Roman"/>
      <w:sz w:val="24"/>
      <w:szCs w:val="24"/>
    </w:rPr>
  </w:style>
  <w:style w:type="character" w:customStyle="1" w:styleId="BodyText2Char">
    <w:name w:val="Body Text 2 Char"/>
    <w:basedOn w:val="DefaultParagraphFont"/>
    <w:link w:val="BodyText2"/>
    <w:uiPriority w:val="99"/>
    <w:rPr>
      <w:rFonts w:ascii="Times New Roman" w:hAnsi="Times New Roman"/>
      <w:sz w:val="24"/>
      <w:szCs w:val="24"/>
    </w:rPr>
  </w:style>
  <w:style w:type="paragraph" w:styleId="BodyTextIndent">
    <w:name w:val="Body Text Indent"/>
    <w:basedOn w:val="Normal"/>
    <w:link w:val="BodyTextIndentChar"/>
    <w:uiPriority w:val="99"/>
    <w:pPr>
      <w:spacing w:before="120" w:after="120" w:line="400" w:lineRule="exact"/>
      <w:ind w:firstLine="720"/>
      <w:jc w:val="both"/>
    </w:pPr>
    <w:rPr>
      <w:rFonts w:ascii="Times New Roman" w:hAnsi="Times New Roman"/>
      <w:b/>
      <w:bCs/>
      <w:sz w:val="24"/>
      <w:szCs w:val="24"/>
    </w:rPr>
  </w:style>
  <w:style w:type="character" w:customStyle="1" w:styleId="BodyTextIndentChar">
    <w:name w:val="Body Text Indent Char"/>
    <w:basedOn w:val="DefaultParagraphFont"/>
    <w:link w:val="BodyTextIndent"/>
    <w:uiPriority w:val="99"/>
    <w:rPr>
      <w:rFonts w:ascii="Times New Roman" w:hAnsi="Times New Roman"/>
      <w:b/>
      <w:bCs/>
      <w:sz w:val="24"/>
      <w:szCs w:val="24"/>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customStyle="1" w:styleId="Heading41">
    <w:name w:val="Heading 41"/>
    <w:basedOn w:val="Normal"/>
    <w:uiPriority w:val="99"/>
    <w:pPr>
      <w:spacing w:before="120" w:after="60" w:line="360" w:lineRule="exact"/>
      <w:ind w:firstLine="720"/>
      <w:jc w:val="both"/>
    </w:pPr>
    <w:rPr>
      <w:rFonts w:ascii="Times New Roman" w:eastAsia="Times New Roman" w:hAnsi="Times New Roman"/>
      <w:color w:val="000000"/>
      <w:sz w:val="28"/>
      <w:szCs w:val="24"/>
    </w:rPr>
  </w:style>
  <w:style w:type="paragraph" w:styleId="BodyText3">
    <w:name w:val="Body Text 3"/>
    <w:basedOn w:val="Normal"/>
    <w:link w:val="BodyText3Char"/>
    <w:uiPriority w:val="99"/>
    <w:pPr>
      <w:spacing w:before="120" w:after="120" w:line="360" w:lineRule="exact"/>
      <w:ind w:firstLine="567"/>
      <w:jc w:val="both"/>
    </w:pPr>
    <w:rPr>
      <w:rFonts w:ascii="Times New Roman" w:hAnsi="Times New Roman"/>
      <w:sz w:val="16"/>
      <w:szCs w:val="16"/>
    </w:rPr>
  </w:style>
  <w:style w:type="character" w:customStyle="1" w:styleId="BodyText3Char">
    <w:name w:val="Body Text 3 Char"/>
    <w:basedOn w:val="DefaultParagraphFont"/>
    <w:link w:val="BodyText3"/>
    <w:uiPriority w:val="99"/>
    <w:rPr>
      <w:rFonts w:ascii="Times New Roman" w:hAnsi="Times New Roman"/>
      <w:sz w:val="16"/>
      <w:szCs w:val="16"/>
    </w:rPr>
  </w:style>
  <w:style w:type="character" w:customStyle="1" w:styleId="apple-converted-space">
    <w:name w:val="apple-converted-space"/>
    <w:uiPriority w:val="99"/>
    <w:rPr>
      <w:rFonts w:cs="Times New Roman"/>
    </w:rPr>
  </w:style>
  <w:style w:type="character" w:customStyle="1" w:styleId="NormalWebChar">
    <w:name w:val="Normal (Web) Char"/>
    <w:link w:val="NormalWeb"/>
    <w:uiPriority w:val="99"/>
    <w:locked/>
    <w:rPr>
      <w:sz w:val="24"/>
      <w:szCs w:val="24"/>
    </w:rPr>
  </w:style>
  <w:style w:type="paragraph" w:styleId="NormalWeb">
    <w:name w:val="Normal (Web)"/>
    <w:basedOn w:val="Normal"/>
    <w:link w:val="NormalWebChar"/>
    <w:uiPriority w:val="99"/>
    <w:qFormat/>
    <w:pPr>
      <w:spacing w:before="100" w:beforeAutospacing="1" w:after="100" w:afterAutospacing="1" w:line="240" w:lineRule="auto"/>
    </w:pPr>
    <w:rPr>
      <w:sz w:val="24"/>
      <w:szCs w:val="24"/>
    </w:rPr>
  </w:style>
  <w:style w:type="character" w:styleId="CommentReference">
    <w:name w:val="annotation reference"/>
    <w:uiPriority w:val="99"/>
    <w:semiHidden/>
    <w:rPr>
      <w:rFonts w:cs="Times New Roman"/>
      <w:sz w:val="16"/>
      <w:szCs w:val="16"/>
    </w:rPr>
  </w:style>
  <w:style w:type="paragraph" w:customStyle="1" w:styleId="CharCharCharChar">
    <w:name w:val="Char Char Char Char"/>
    <w:basedOn w:val="Normal"/>
    <w:pPr>
      <w:spacing w:after="160" w:line="240" w:lineRule="exact"/>
    </w:pPr>
    <w:rPr>
      <w:rFonts w:ascii="Verdana" w:eastAsia="Times New Roman" w:hAnsi="Verdana"/>
      <w:sz w:val="20"/>
      <w:szCs w:val="20"/>
    </w:rPr>
  </w:style>
  <w:style w:type="paragraph" w:customStyle="1" w:styleId="Char">
    <w:name w:val="Char"/>
    <w:basedOn w:val="Normal"/>
    <w:autoRedefin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FollowedHyperlink">
    <w:name w:val="FollowedHyperlink"/>
    <w:uiPriority w:val="99"/>
    <w:semiHidden/>
    <w:unhideWhenUsed/>
    <w:rPr>
      <w:color w:val="800080"/>
      <w:u w:val="single"/>
    </w:rPr>
  </w:style>
  <w:style w:type="paragraph" w:customStyle="1" w:styleId="font5">
    <w:name w:val="font5"/>
    <w:basedOn w:val="Normal"/>
    <w:pPr>
      <w:spacing w:before="100" w:beforeAutospacing="1" w:after="100" w:afterAutospacing="1" w:line="240" w:lineRule="auto"/>
    </w:pPr>
    <w:rPr>
      <w:rFonts w:ascii="Times New Roman" w:eastAsia="Times New Roman" w:hAnsi="Times New Roman"/>
      <w:b/>
      <w:bCs/>
      <w:sz w:val="32"/>
      <w:szCs w:val="32"/>
    </w:rPr>
  </w:style>
  <w:style w:type="paragraph" w:customStyle="1" w:styleId="font6">
    <w:name w:val="font6"/>
    <w:basedOn w:val="Normal"/>
    <w:pPr>
      <w:spacing w:before="100" w:beforeAutospacing="1" w:after="100" w:afterAutospacing="1" w:line="240" w:lineRule="auto"/>
    </w:pPr>
    <w:rPr>
      <w:rFonts w:ascii="Times New Roman" w:eastAsia="Times New Roman" w:hAnsi="Times New Roman"/>
      <w:sz w:val="28"/>
      <w:szCs w:val="28"/>
    </w:rPr>
  </w:style>
  <w:style w:type="paragraph" w:customStyle="1" w:styleId="font7">
    <w:name w:val="font7"/>
    <w:basedOn w:val="Normal"/>
    <w:pPr>
      <w:spacing w:before="100" w:beforeAutospacing="1" w:after="100" w:afterAutospacing="1" w:line="240" w:lineRule="auto"/>
    </w:pPr>
    <w:rPr>
      <w:rFonts w:ascii="Times New Roman" w:eastAsia="Times New Roman" w:hAnsi="Times New Roman"/>
      <w:b/>
      <w:bCs/>
      <w:sz w:val="32"/>
      <w:szCs w:val="32"/>
    </w:rPr>
  </w:style>
  <w:style w:type="paragraph" w:customStyle="1" w:styleId="xl224">
    <w:name w:val="xl224"/>
    <w:basedOn w:val="Normal"/>
    <w:pP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25">
    <w:name w:val="xl225"/>
    <w:basedOn w:val="Normal"/>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26">
    <w:name w:val="xl226"/>
    <w:basedOn w:val="Normal"/>
    <w:pPr>
      <w:spacing w:before="100" w:beforeAutospacing="1" w:after="100" w:afterAutospacing="1" w:line="240" w:lineRule="auto"/>
      <w:jc w:val="right"/>
      <w:textAlignment w:val="center"/>
    </w:pPr>
    <w:rPr>
      <w:rFonts w:ascii="Times New Roman" w:eastAsia="Times New Roman" w:hAnsi="Times New Roman"/>
      <w:b/>
      <w:bCs/>
      <w:sz w:val="32"/>
      <w:szCs w:val="32"/>
    </w:rPr>
  </w:style>
  <w:style w:type="paragraph" w:customStyle="1" w:styleId="xl227">
    <w:name w:val="xl227"/>
    <w:basedOn w:val="Normal"/>
    <w:pPr>
      <w:spacing w:before="100" w:beforeAutospacing="1" w:after="100" w:afterAutospacing="1" w:line="240" w:lineRule="auto"/>
      <w:jc w:val="right"/>
      <w:textAlignment w:val="center"/>
    </w:pPr>
    <w:rPr>
      <w:rFonts w:ascii="Times New Roman" w:eastAsia="Times New Roman" w:hAnsi="Times New Roman"/>
      <w:sz w:val="32"/>
      <w:szCs w:val="32"/>
    </w:rPr>
  </w:style>
  <w:style w:type="paragraph" w:customStyle="1" w:styleId="xl228">
    <w:name w:val="xl228"/>
    <w:basedOn w:val="Normal"/>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29">
    <w:name w:val="xl229"/>
    <w:basedOn w:val="Normal"/>
    <w:pPr>
      <w:spacing w:before="100" w:beforeAutospacing="1" w:after="100" w:afterAutospacing="1" w:line="240" w:lineRule="auto"/>
      <w:textAlignment w:val="center"/>
    </w:pPr>
    <w:rPr>
      <w:rFonts w:ascii="Times New Roman" w:eastAsia="Times New Roman" w:hAnsi="Times New Roman"/>
      <w:color w:val="FFFFFF"/>
      <w:sz w:val="28"/>
      <w:szCs w:val="28"/>
    </w:rPr>
  </w:style>
  <w:style w:type="paragraph" w:customStyle="1" w:styleId="xl230">
    <w:name w:val="xl23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1">
    <w:name w:val="xl231"/>
    <w:basedOn w:val="Normal"/>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2">
    <w:name w:val="xl232"/>
    <w:basedOn w:val="Normal"/>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3">
    <w:name w:val="xl233"/>
    <w:basedOn w:val="Normal"/>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4">
    <w:name w:val="xl234"/>
    <w:basedOn w:val="Normal"/>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5">
    <w:name w:val="xl235"/>
    <w:basedOn w:val="Normal"/>
    <w:pP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36">
    <w:name w:val="xl236"/>
    <w:basedOn w:val="Normal"/>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7">
    <w:name w:val="xl23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8">
    <w:name w:val="xl23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9">
    <w:name w:val="xl23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0">
    <w:name w:val="xl24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1">
    <w:name w:val="xl24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42">
    <w:name w:val="xl24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3">
    <w:name w:val="xl24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44">
    <w:name w:val="xl24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5">
    <w:name w:val="xl245"/>
    <w:basedOn w:val="Normal"/>
    <w:pPr>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246">
    <w:name w:val="xl24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7">
    <w:name w:val="xl24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8">
    <w:name w:val="xl24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9">
    <w:name w:val="xl24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50">
    <w:name w:val="xl25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rPr>
  </w:style>
  <w:style w:type="paragraph" w:customStyle="1" w:styleId="xl251">
    <w:name w:val="xl25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rPr>
  </w:style>
  <w:style w:type="paragraph" w:customStyle="1" w:styleId="xl252">
    <w:name w:val="xl25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53">
    <w:name w:val="xl25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4">
    <w:name w:val="xl25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55">
    <w:name w:val="xl25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56">
    <w:name w:val="xl256"/>
    <w:basedOn w:val="Normal"/>
    <w:pPr>
      <w:spacing w:before="100" w:beforeAutospacing="1" w:after="100" w:afterAutospacing="1" w:line="240" w:lineRule="auto"/>
      <w:textAlignment w:val="center"/>
    </w:pPr>
    <w:rPr>
      <w:rFonts w:ascii="Times New Roman" w:eastAsia="Times New Roman" w:hAnsi="Times New Roman"/>
      <w:b/>
      <w:bCs/>
      <w:i/>
      <w:iCs/>
      <w:sz w:val="32"/>
      <w:szCs w:val="32"/>
    </w:rPr>
  </w:style>
  <w:style w:type="paragraph" w:customStyle="1" w:styleId="xl257">
    <w:name w:val="xl257"/>
    <w:basedOn w:val="Normal"/>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58">
    <w:name w:val="xl25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9">
    <w:name w:val="xl259"/>
    <w:basedOn w:val="Normal"/>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0">
    <w:name w:val="xl26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61">
    <w:name w:val="xl26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62">
    <w:name w:val="xl26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63">
    <w:name w:val="xl26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4">
    <w:name w:val="xl2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rPr>
  </w:style>
  <w:style w:type="paragraph" w:customStyle="1" w:styleId="xl265">
    <w:name w:val="xl2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66">
    <w:name w:val="xl2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rPr>
  </w:style>
  <w:style w:type="paragraph" w:customStyle="1" w:styleId="xl267">
    <w:name w:val="xl2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8"/>
      <w:szCs w:val="28"/>
    </w:rPr>
  </w:style>
  <w:style w:type="paragraph" w:customStyle="1" w:styleId="xl268">
    <w:name w:val="xl268"/>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9">
    <w:name w:val="xl269"/>
    <w:basedOn w:val="Normal"/>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0">
    <w:name w:val="xl27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1">
    <w:name w:val="xl271"/>
    <w:basedOn w:val="Normal"/>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2">
    <w:name w:val="xl272"/>
    <w:basedOn w:val="Normal"/>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3">
    <w:name w:val="xl273"/>
    <w:basedOn w:val="Normal"/>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4">
    <w:name w:val="xl274"/>
    <w:basedOn w:val="Normal"/>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5">
    <w:name w:val="xl275"/>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6">
    <w:name w:val="xl276"/>
    <w:basedOn w:val="Normal"/>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7">
    <w:name w:val="xl277"/>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8">
    <w:name w:val="xl278"/>
    <w:basedOn w:val="Normal"/>
    <w:pPr>
      <w:spacing w:before="100" w:beforeAutospacing="1" w:after="100" w:afterAutospacing="1" w:line="240" w:lineRule="auto"/>
      <w:jc w:val="right"/>
      <w:textAlignment w:val="center"/>
    </w:pPr>
    <w:rPr>
      <w:rFonts w:ascii="Times New Roman" w:eastAsia="Times New Roman" w:hAnsi="Times New Roman"/>
      <w:b/>
      <w:bCs/>
      <w:i/>
      <w:iCs/>
      <w:sz w:val="32"/>
      <w:szCs w:val="32"/>
    </w:rPr>
  </w:style>
  <w:style w:type="paragraph" w:customStyle="1" w:styleId="xl279">
    <w:name w:val="xl279"/>
    <w:basedOn w:val="Normal"/>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0">
    <w:name w:val="xl280"/>
    <w:basedOn w:val="Normal"/>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1">
    <w:name w:val="xl281"/>
    <w:basedOn w:val="Normal"/>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2">
    <w:name w:val="xl282"/>
    <w:basedOn w:val="Normal"/>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3">
    <w:name w:val="xl283"/>
    <w:basedOn w:val="Normal"/>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32"/>
      <w:szCs w:val="32"/>
    </w:rPr>
  </w:style>
  <w:style w:type="paragraph" w:customStyle="1" w:styleId="xl284">
    <w:name w:val="xl284"/>
    <w:basedOn w:val="Normal"/>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5">
    <w:name w:val="xl285"/>
    <w:basedOn w:val="Normal"/>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6">
    <w:name w:val="xl286"/>
    <w:basedOn w:val="Normal"/>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7">
    <w:name w:val="xl287"/>
    <w:basedOn w:val="Normal"/>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8">
    <w:name w:val="xl288"/>
    <w:basedOn w:val="Normal"/>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89">
    <w:name w:val="xl289"/>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90">
    <w:name w:val="xl290"/>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91">
    <w:name w:val="xl291"/>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pPr>
      <w:spacing w:after="160" w:line="240" w:lineRule="exact"/>
    </w:pPr>
    <w:rPr>
      <w:rFonts w:ascii="Arial" w:eastAsia="Times New Roman" w:hAnsi="Arial"/>
    </w:rPr>
  </w:style>
  <w:style w:type="character" w:customStyle="1" w:styleId="5yl5">
    <w:name w:val="_5yl5"/>
  </w:style>
  <w:style w:type="paragraph" w:customStyle="1" w:styleId="Default">
    <w:name w:val="Default"/>
    <w:pPr>
      <w:autoSpaceDE w:val="0"/>
      <w:autoSpaceDN w:val="0"/>
      <w:adjustRightInd w:val="0"/>
    </w:pPr>
    <w:rPr>
      <w:rFonts w:ascii="Times New Roman" w:eastAsia="Arial" w:hAnsi="Times New Roman"/>
      <w:color w:val="000000"/>
      <w:sz w:val="24"/>
      <w:szCs w:val="24"/>
      <w:lang w:val="vi-VN"/>
    </w:rPr>
  </w:style>
  <w:style w:type="paragraph" w:styleId="NoSpacing">
    <w:name w:val="No Spacing"/>
    <w:qFormat/>
    <w:rPr>
      <w:rFonts w:ascii="Times New Roman" w:eastAsia="Times New Roman" w:hAnsi="Times New Roman"/>
    </w:rPr>
  </w:style>
  <w:style w:type="paragraph" w:styleId="BodyTextIndent3">
    <w:name w:val="Body Text Indent 3"/>
    <w:basedOn w:val="Normal"/>
    <w:link w:val="BodyTextIndent3Char"/>
    <w:uiPriority w:val="99"/>
    <w:semiHidden/>
    <w:unhideWhenUsed/>
    <w:pPr>
      <w:spacing w:before="120" w:after="120" w:line="360" w:lineRule="exact"/>
      <w:ind w:left="360" w:firstLine="567"/>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sz w:val="16"/>
      <w:szCs w:val="16"/>
    </w:rPr>
  </w:style>
  <w:style w:type="paragraph" w:customStyle="1" w:styleId="LO-normal">
    <w:name w:val="LO-normal"/>
    <w:basedOn w:val="Normal"/>
    <w:pPr>
      <w:suppressAutoHyphens/>
      <w:spacing w:before="280" w:after="280" w:line="240" w:lineRule="auto"/>
    </w:pPr>
    <w:rPr>
      <w:rFonts w:ascii="Times New Roman" w:eastAsia="SimSun" w:hAnsi="Times New Roman"/>
      <w:color w:val="000000"/>
      <w:kern w:val="1"/>
      <w:sz w:val="24"/>
      <w:szCs w:val="24"/>
      <w:lang w:eastAsia="zh-CN"/>
    </w:rPr>
  </w:style>
  <w:style w:type="character" w:customStyle="1" w:styleId="Bodytext20">
    <w:name w:val="Body text (2)_"/>
    <w:link w:val="Bodytext21"/>
    <w:rPr>
      <w:rFonts w:ascii="Times New Roman" w:hAnsi="Times New Roman"/>
      <w:sz w:val="26"/>
      <w:szCs w:val="26"/>
      <w:shd w:val="clear" w:color="auto" w:fill="FFFFFF"/>
    </w:rPr>
  </w:style>
  <w:style w:type="paragraph" w:customStyle="1" w:styleId="Bodytext21">
    <w:name w:val="Body text (2)1"/>
    <w:basedOn w:val="Normal"/>
    <w:link w:val="Bodytext20"/>
    <w:pPr>
      <w:widowControl w:val="0"/>
      <w:shd w:val="clear" w:color="auto" w:fill="FFFFFF"/>
      <w:spacing w:before="180" w:after="60" w:line="360" w:lineRule="exact"/>
      <w:ind w:hanging="360"/>
      <w:jc w:val="both"/>
    </w:pPr>
    <w:rPr>
      <w:rFonts w:ascii="Times New Roman" w:hAnsi="Times New Roman"/>
      <w:sz w:val="26"/>
      <w:szCs w:val="26"/>
    </w:rPr>
  </w:style>
  <w:style w:type="character" w:customStyle="1" w:styleId="ChthchnhExact">
    <w:name w:val="Chú thích ảnh Exact"/>
    <w:link w:val="Chthchnh"/>
    <w:rPr>
      <w:b/>
      <w:bCs/>
      <w:spacing w:val="11"/>
      <w:sz w:val="22"/>
      <w:szCs w:val="22"/>
      <w:shd w:val="clear" w:color="auto" w:fill="FFFFFF"/>
    </w:rPr>
  </w:style>
  <w:style w:type="paragraph" w:customStyle="1" w:styleId="Chthchnh">
    <w:name w:val="Chú thích ảnh"/>
    <w:basedOn w:val="Normal"/>
    <w:link w:val="ChthchnhExact"/>
    <w:pPr>
      <w:widowControl w:val="0"/>
      <w:shd w:val="clear" w:color="auto" w:fill="FFFFFF"/>
      <w:spacing w:after="0" w:line="0" w:lineRule="atLeast"/>
    </w:pPr>
    <w:rPr>
      <w:b/>
      <w:bCs/>
      <w:spacing w:val="11"/>
    </w:rPr>
  </w:style>
  <w:style w:type="paragraph" w:customStyle="1" w:styleId="DefaultStyle">
    <w:name w:val="Default Style"/>
    <w:pPr>
      <w:suppressAutoHyphens/>
      <w:spacing w:after="200" w:line="276" w:lineRule="auto"/>
    </w:pPr>
    <w:rPr>
      <w:rFonts w:ascii="Times New Roman" w:eastAsia="Times New Roman" w:hAnsi="Times New Roman"/>
      <w:lang w:eastAsia="hi-IN" w:bidi="hi-IN"/>
    </w:rPr>
  </w:style>
  <w:style w:type="character" w:customStyle="1" w:styleId="Bodytext2Bold7">
    <w:name w:val="Body text (2) + Bold7"/>
    <w:uiPriority w:val="99"/>
    <w:rPr>
      <w:rFonts w:ascii="Times New Roman" w:hAnsi="Times New Roman" w:cs="Times New Roman"/>
      <w:b/>
      <w:bCs/>
      <w:sz w:val="26"/>
      <w:szCs w:val="26"/>
      <w:u w:val="none"/>
      <w:shd w:val="clear" w:color="auto" w:fill="FFFFFF"/>
    </w:rPr>
  </w:style>
  <w:style w:type="paragraph" w:customStyle="1" w:styleId="Bodytext22">
    <w:name w:val="Body text (2)"/>
    <w:basedOn w:val="Normal"/>
    <w:pPr>
      <w:widowControl w:val="0"/>
      <w:shd w:val="clear" w:color="auto" w:fill="FFFFFF"/>
      <w:spacing w:before="600" w:after="480" w:line="240" w:lineRule="atLeast"/>
      <w:jc w:val="center"/>
    </w:pPr>
    <w:rPr>
      <w:rFonts w:ascii="Times New Roman" w:eastAsia="Arial Unicode MS" w:hAnsi="Times New Roman"/>
      <w:sz w:val="26"/>
      <w:szCs w:val="26"/>
      <w:lang w:val="vi-VN"/>
    </w:rPr>
  </w:style>
  <w:style w:type="character" w:customStyle="1" w:styleId="Bodytext0">
    <w:name w:val="Body text_"/>
    <w:link w:val="BodyText1"/>
    <w:rPr>
      <w:rFonts w:ascii="Times New Roman" w:eastAsia="Times New Roman" w:hAnsi="Times New Roman"/>
      <w:sz w:val="26"/>
      <w:szCs w:val="26"/>
      <w:shd w:val="clear" w:color="auto" w:fill="FFFFFF"/>
    </w:rPr>
  </w:style>
  <w:style w:type="paragraph" w:customStyle="1" w:styleId="BodyText1">
    <w:name w:val="Body Text1"/>
    <w:basedOn w:val="Normal"/>
    <w:link w:val="Bodytext0"/>
    <w:qFormat/>
    <w:pPr>
      <w:widowControl w:val="0"/>
      <w:shd w:val="clear" w:color="auto" w:fill="FFFFFF"/>
      <w:spacing w:after="80" w:line="257" w:lineRule="auto"/>
      <w:ind w:firstLine="400"/>
      <w:jc w:val="both"/>
    </w:pPr>
    <w:rPr>
      <w:rFonts w:ascii="Times New Roman" w:eastAsia="Times New Roman" w:hAnsi="Times New Roman"/>
      <w:sz w:val="26"/>
      <w:szCs w:val="26"/>
    </w:rPr>
  </w:style>
  <w:style w:type="paragraph" w:customStyle="1" w:styleId="Bodytext10">
    <w:name w:val="Body text1"/>
    <w:basedOn w:val="Normal"/>
    <w:uiPriority w:val="99"/>
    <w:pPr>
      <w:widowControl w:val="0"/>
      <w:shd w:val="clear" w:color="auto" w:fill="FFFFFF"/>
      <w:spacing w:before="660" w:after="60" w:line="320" w:lineRule="exact"/>
      <w:jc w:val="both"/>
    </w:pPr>
    <w:rPr>
      <w:rFonts w:ascii="Times New Roman" w:eastAsia="Times New Roman" w:hAnsi="Times New Roman"/>
      <w:sz w:val="28"/>
      <w:szCs w:val="26"/>
    </w:rPr>
  </w:style>
  <w:style w:type="character" w:customStyle="1" w:styleId="Heading10">
    <w:name w:val="Heading #1_"/>
    <w:link w:val="Heading11"/>
    <w:rPr>
      <w:rFonts w:ascii="Times New Roman" w:eastAsia="Times New Roman" w:hAnsi="Times New Roman"/>
      <w:b/>
      <w:bCs/>
      <w:sz w:val="26"/>
      <w:szCs w:val="26"/>
      <w:shd w:val="clear" w:color="auto" w:fill="FFFFFF"/>
    </w:rPr>
  </w:style>
  <w:style w:type="paragraph" w:customStyle="1" w:styleId="Heading11">
    <w:name w:val="Heading #1"/>
    <w:basedOn w:val="Normal"/>
    <w:link w:val="Heading10"/>
    <w:pPr>
      <w:widowControl w:val="0"/>
      <w:shd w:val="clear" w:color="auto" w:fill="FFFFFF"/>
      <w:spacing w:after="100" w:line="259" w:lineRule="auto"/>
      <w:ind w:firstLine="740"/>
      <w:jc w:val="both"/>
      <w:outlineLvl w:val="0"/>
    </w:pPr>
    <w:rPr>
      <w:rFonts w:ascii="Times New Roman" w:eastAsia="Times New Roman" w:hAnsi="Times New Roman"/>
      <w:b/>
      <w:bCs/>
      <w:sz w:val="26"/>
      <w:szCs w:val="26"/>
    </w:rPr>
  </w:style>
  <w:style w:type="character" w:customStyle="1" w:styleId="BodyTextChar1">
    <w:name w:val="Body Text Char1"/>
    <w:uiPriority w:val="99"/>
    <w:rPr>
      <w:rFonts w:cs="Times New Roman"/>
      <w:sz w:val="26"/>
      <w:szCs w:val="26"/>
      <w:shd w:val="clear" w:color="auto" w:fill="FFFFFF"/>
    </w:rPr>
  </w:style>
  <w:style w:type="paragraph" w:styleId="CommentText">
    <w:name w:val="annotation text"/>
    <w:basedOn w:val="Normal"/>
    <w:link w:val="CommentTextChar"/>
    <w:uiPriority w:val="99"/>
    <w:semiHidden/>
    <w:unhideWhenUsed/>
    <w:pPr>
      <w:spacing w:before="120" w:after="120" w:line="240" w:lineRule="auto"/>
      <w:ind w:firstLine="567"/>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FootnoteText">
    <w:name w:val="footnote text"/>
    <w:basedOn w:val="Normal"/>
    <w:link w:val="FootnoteTextChar"/>
    <w:uiPriority w:val="99"/>
    <w:unhideWhenUsed/>
    <w:pPr>
      <w:spacing w:after="0" w:line="240" w:lineRule="auto"/>
      <w:ind w:firstLine="56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rPr>
  </w:style>
  <w:style w:type="character" w:styleId="FootnoteReference">
    <w:name w:val="footnote reference"/>
    <w:uiPriority w:val="99"/>
    <w:unhideWhenUsed/>
    <w:rPr>
      <w:vertAlign w:val="superscript"/>
    </w:rPr>
  </w:style>
  <w:style w:type="paragraph" w:styleId="TOCHeading">
    <w:name w:val="TOC Heading"/>
    <w:basedOn w:val="Heading1"/>
    <w:next w:val="Normal"/>
    <w:uiPriority w:val="39"/>
    <w:unhideWhenUsed/>
    <w:qFormat/>
    <w:pPr>
      <w:keepLines/>
      <w:spacing w:before="240" w:after="0" w:line="259" w:lineRule="auto"/>
      <w:ind w:firstLine="0"/>
      <w:jc w:val="left"/>
      <w:outlineLvl w:val="9"/>
    </w:pPr>
    <w:rPr>
      <w:rFonts w:ascii="Cambria" w:eastAsia="Times New Roman" w:hAnsi="Cambria"/>
      <w:i w:val="0"/>
      <w:iCs w:val="0"/>
      <w:color w:val="365F91"/>
      <w:sz w:val="32"/>
      <w:szCs w:val="32"/>
    </w:rPr>
  </w:style>
  <w:style w:type="paragraph" w:customStyle="1" w:styleId="ContentforFigures">
    <w:name w:val="Content for Figures"/>
    <w:basedOn w:val="TableofFigures"/>
    <w:qFormat/>
    <w:pPr>
      <w:tabs>
        <w:tab w:val="right" w:leader="dot" w:pos="9307"/>
      </w:tabs>
      <w:spacing w:before="60" w:after="60" w:line="276" w:lineRule="auto"/>
      <w:ind w:firstLine="0"/>
      <w:jc w:val="left"/>
    </w:pPr>
    <w:rPr>
      <w:noProof/>
      <w:sz w:val="27"/>
      <w:szCs w:val="22"/>
    </w:rPr>
  </w:style>
  <w:style w:type="paragraph" w:styleId="TableofFigures">
    <w:name w:val="table of figures"/>
    <w:basedOn w:val="Normal"/>
    <w:next w:val="Normal"/>
    <w:uiPriority w:val="99"/>
    <w:semiHidden/>
    <w:unhideWhenUsed/>
    <w:pPr>
      <w:spacing w:before="120" w:after="0" w:line="360" w:lineRule="exact"/>
      <w:ind w:firstLine="567"/>
      <w:jc w:val="both"/>
    </w:pPr>
    <w:rPr>
      <w:rFonts w:ascii="Times New Roman" w:eastAsia="Times New Roman" w:hAnsi="Times New Roman"/>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8">
    <w:name w:val="xl88"/>
    <w:basedOn w:val="Normal"/>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3">
    <w:name w:val="xl93"/>
    <w:basedOn w:val="Normal"/>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keepNext/>
      <w:spacing w:before="120" w:after="120" w:line="360" w:lineRule="exact"/>
      <w:ind w:firstLine="567"/>
      <w:jc w:val="both"/>
      <w:outlineLvl w:val="0"/>
    </w:pPr>
    <w:rPr>
      <w:rFonts w:ascii="Times New Roman" w:hAnsi="Times New Roman"/>
      <w:i/>
      <w:iCs/>
      <w:sz w:val="24"/>
      <w:szCs w:val="24"/>
    </w:rPr>
  </w:style>
  <w:style w:type="paragraph" w:styleId="Heading2">
    <w:name w:val="heading 2"/>
    <w:basedOn w:val="Normal"/>
    <w:next w:val="Normal"/>
    <w:link w:val="Heading2Char"/>
    <w:uiPriority w:val="99"/>
    <w:qFormat/>
    <w:pPr>
      <w:keepNext/>
      <w:spacing w:before="120" w:after="120" w:line="360" w:lineRule="exact"/>
      <w:ind w:firstLine="567"/>
      <w:jc w:val="both"/>
      <w:outlineLvl w:val="1"/>
    </w:pPr>
    <w:rPr>
      <w:rFonts w:ascii="Times New Roman" w:hAnsi="Times New Roman"/>
      <w:b/>
      <w:bCs/>
      <w:sz w:val="24"/>
      <w:szCs w:val="24"/>
    </w:rPr>
  </w:style>
  <w:style w:type="paragraph" w:styleId="Heading3">
    <w:name w:val="heading 3"/>
    <w:basedOn w:val="Normal"/>
    <w:next w:val="Normal"/>
    <w:link w:val="Heading3Char"/>
    <w:uiPriority w:val="99"/>
    <w:qFormat/>
    <w:pPr>
      <w:keepNext/>
      <w:keepLines/>
      <w:spacing w:before="200" w:after="120" w:line="360" w:lineRule="exact"/>
      <w:ind w:firstLine="567"/>
      <w:jc w:val="both"/>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pPr>
      <w:keepNext/>
      <w:keepLines/>
      <w:spacing w:before="200" w:after="0" w:line="240" w:lineRule="auto"/>
      <w:outlineLvl w:val="3"/>
    </w:pPr>
    <w:rPr>
      <w:rFonts w:ascii="Cambria" w:eastAsia="Times New Roman"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tyle>
  <w:style w:type="paragraph" w:customStyle="1" w:styleId="CharCharCharCharCharCharCharCharCharCharCharCharChar">
    <w:name w:val="Char Char Char Char Char Char Char Char Char Char Char Char Char"/>
    <w:basedOn w:val="Normal"/>
    <w:semiHidden/>
    <w:pPr>
      <w:spacing w:after="160" w:line="240" w:lineRule="exact"/>
    </w:pPr>
    <w:rPr>
      <w:rFonts w:ascii="Arial" w:eastAsia="Times New Roman" w:hAnsi="Arial"/>
    </w:rPr>
  </w:style>
  <w:style w:type="table" w:styleId="TableGrid">
    <w:name w:val="Table Grid"/>
    <w:basedOn w:val="TableNormal"/>
    <w:uiPriority w:val="99"/>
    <w:rPr>
      <w:rFonts w:ascii="Times New Roman" w:eastAsiaTheme="minorHAnsi" w:hAnsi="Times New Roman"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Pr>
      <w:rFonts w:ascii="Times New Roman" w:hAnsi="Times New Roman"/>
      <w:i/>
      <w:iCs/>
      <w:sz w:val="24"/>
      <w:szCs w:val="24"/>
    </w:rPr>
  </w:style>
  <w:style w:type="character" w:customStyle="1" w:styleId="Heading2Char">
    <w:name w:val="Heading 2 Char"/>
    <w:basedOn w:val="DefaultParagraphFont"/>
    <w:link w:val="Heading2"/>
    <w:uiPriority w:val="99"/>
    <w:rPr>
      <w:rFonts w:ascii="Times New Roman" w:hAnsi="Times New Roman"/>
      <w:b/>
      <w:bCs/>
      <w:sz w:val="24"/>
      <w:szCs w:val="24"/>
    </w:rPr>
  </w:style>
  <w:style w:type="character" w:customStyle="1" w:styleId="Heading3Char">
    <w:name w:val="Heading 3 Char"/>
    <w:basedOn w:val="DefaultParagraphFont"/>
    <w:link w:val="Heading3"/>
    <w:uiPriority w:val="99"/>
    <w:rPr>
      <w:rFonts w:ascii="Cambria" w:hAnsi="Cambria"/>
      <w:b/>
      <w:bCs/>
      <w:color w:val="4F81BD"/>
      <w:sz w:val="24"/>
      <w:szCs w:val="24"/>
    </w:rPr>
  </w:style>
  <w:style w:type="character" w:customStyle="1" w:styleId="Heading4Char">
    <w:name w:val="Heading 4 Char"/>
    <w:basedOn w:val="DefaultParagraphFont"/>
    <w:link w:val="Heading4"/>
    <w:uiPriority w:val="9"/>
    <w:rPr>
      <w:rFonts w:ascii="Cambria" w:eastAsia="Times New Roman" w:hAnsi="Cambria"/>
      <w:b/>
      <w:bCs/>
      <w:i/>
      <w:iCs/>
      <w:color w:val="4F81BD"/>
      <w:sz w:val="28"/>
      <w:szCs w:val="28"/>
    </w:rPr>
  </w:style>
  <w:style w:type="paragraph" w:styleId="Caption">
    <w:name w:val="caption"/>
    <w:basedOn w:val="Normal"/>
    <w:next w:val="Normal"/>
    <w:uiPriority w:val="99"/>
    <w:qFormat/>
    <w:pPr>
      <w:spacing w:before="120" w:after="120" w:line="360" w:lineRule="exact"/>
      <w:ind w:firstLine="567"/>
      <w:jc w:val="center"/>
    </w:pPr>
    <w:rPr>
      <w:rFonts w:ascii="Times New Roman" w:eastAsia="Times New Roman" w:hAnsi="Times New Roman"/>
      <w:b/>
      <w:bCs/>
      <w:sz w:val="34"/>
      <w:szCs w:val="24"/>
    </w:rPr>
  </w:style>
  <w:style w:type="paragraph" w:styleId="BodyText">
    <w:name w:val="Body Text"/>
    <w:basedOn w:val="Normal"/>
    <w:link w:val="BodyTextChar"/>
    <w:uiPriority w:val="1"/>
    <w:qFormat/>
    <w:pPr>
      <w:spacing w:before="120" w:after="120" w:line="360" w:lineRule="exact"/>
      <w:ind w:firstLine="567"/>
      <w:jc w:val="center"/>
    </w:pPr>
    <w:rPr>
      <w:rFonts w:ascii="Times New Roman" w:hAnsi="Times New Roman"/>
      <w:sz w:val="24"/>
      <w:szCs w:val="24"/>
    </w:rPr>
  </w:style>
  <w:style w:type="character" w:customStyle="1" w:styleId="BodyTextChar">
    <w:name w:val="Body Text Char"/>
    <w:basedOn w:val="DefaultParagraphFont"/>
    <w:link w:val="BodyText"/>
    <w:uiPriority w:val="1"/>
    <w:rPr>
      <w:rFonts w:ascii="Times New Roman" w:hAnsi="Times New Roman"/>
      <w:sz w:val="24"/>
      <w:szCs w:val="24"/>
    </w:rPr>
  </w:style>
  <w:style w:type="paragraph" w:styleId="BodyText2">
    <w:name w:val="Body Text 2"/>
    <w:basedOn w:val="Normal"/>
    <w:link w:val="BodyText2Char"/>
    <w:uiPriority w:val="99"/>
    <w:pPr>
      <w:spacing w:before="80" w:after="80" w:line="360" w:lineRule="exact"/>
      <w:ind w:firstLine="567"/>
      <w:jc w:val="both"/>
    </w:pPr>
    <w:rPr>
      <w:rFonts w:ascii="Times New Roman" w:hAnsi="Times New Roman"/>
      <w:sz w:val="24"/>
      <w:szCs w:val="24"/>
    </w:rPr>
  </w:style>
  <w:style w:type="character" w:customStyle="1" w:styleId="BodyText2Char">
    <w:name w:val="Body Text 2 Char"/>
    <w:basedOn w:val="DefaultParagraphFont"/>
    <w:link w:val="BodyText2"/>
    <w:uiPriority w:val="99"/>
    <w:rPr>
      <w:rFonts w:ascii="Times New Roman" w:hAnsi="Times New Roman"/>
      <w:sz w:val="24"/>
      <w:szCs w:val="24"/>
    </w:rPr>
  </w:style>
  <w:style w:type="paragraph" w:styleId="BodyTextIndent">
    <w:name w:val="Body Text Indent"/>
    <w:basedOn w:val="Normal"/>
    <w:link w:val="BodyTextIndentChar"/>
    <w:uiPriority w:val="99"/>
    <w:pPr>
      <w:spacing w:before="120" w:after="120" w:line="400" w:lineRule="exact"/>
      <w:ind w:firstLine="720"/>
      <w:jc w:val="both"/>
    </w:pPr>
    <w:rPr>
      <w:rFonts w:ascii="Times New Roman" w:hAnsi="Times New Roman"/>
      <w:b/>
      <w:bCs/>
      <w:sz w:val="24"/>
      <w:szCs w:val="24"/>
    </w:rPr>
  </w:style>
  <w:style w:type="character" w:customStyle="1" w:styleId="BodyTextIndentChar">
    <w:name w:val="Body Text Indent Char"/>
    <w:basedOn w:val="DefaultParagraphFont"/>
    <w:link w:val="BodyTextIndent"/>
    <w:uiPriority w:val="99"/>
    <w:rPr>
      <w:rFonts w:ascii="Times New Roman" w:hAnsi="Times New Roman"/>
      <w:b/>
      <w:bCs/>
      <w:sz w:val="24"/>
      <w:szCs w:val="24"/>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customStyle="1" w:styleId="Heading41">
    <w:name w:val="Heading 41"/>
    <w:basedOn w:val="Normal"/>
    <w:uiPriority w:val="99"/>
    <w:pPr>
      <w:spacing w:before="120" w:after="60" w:line="360" w:lineRule="exact"/>
      <w:ind w:firstLine="720"/>
      <w:jc w:val="both"/>
    </w:pPr>
    <w:rPr>
      <w:rFonts w:ascii="Times New Roman" w:eastAsia="Times New Roman" w:hAnsi="Times New Roman"/>
      <w:color w:val="000000"/>
      <w:sz w:val="28"/>
      <w:szCs w:val="24"/>
    </w:rPr>
  </w:style>
  <w:style w:type="paragraph" w:styleId="BodyText3">
    <w:name w:val="Body Text 3"/>
    <w:basedOn w:val="Normal"/>
    <w:link w:val="BodyText3Char"/>
    <w:uiPriority w:val="99"/>
    <w:pPr>
      <w:spacing w:before="120" w:after="120" w:line="360" w:lineRule="exact"/>
      <w:ind w:firstLine="567"/>
      <w:jc w:val="both"/>
    </w:pPr>
    <w:rPr>
      <w:rFonts w:ascii="Times New Roman" w:hAnsi="Times New Roman"/>
      <w:sz w:val="16"/>
      <w:szCs w:val="16"/>
    </w:rPr>
  </w:style>
  <w:style w:type="character" w:customStyle="1" w:styleId="BodyText3Char">
    <w:name w:val="Body Text 3 Char"/>
    <w:basedOn w:val="DefaultParagraphFont"/>
    <w:link w:val="BodyText3"/>
    <w:uiPriority w:val="99"/>
    <w:rPr>
      <w:rFonts w:ascii="Times New Roman" w:hAnsi="Times New Roman"/>
      <w:sz w:val="16"/>
      <w:szCs w:val="16"/>
    </w:rPr>
  </w:style>
  <w:style w:type="character" w:customStyle="1" w:styleId="apple-converted-space">
    <w:name w:val="apple-converted-space"/>
    <w:uiPriority w:val="99"/>
    <w:rPr>
      <w:rFonts w:cs="Times New Roman"/>
    </w:rPr>
  </w:style>
  <w:style w:type="character" w:customStyle="1" w:styleId="NormalWebChar">
    <w:name w:val="Normal (Web) Char"/>
    <w:link w:val="NormalWeb"/>
    <w:uiPriority w:val="99"/>
    <w:locked/>
    <w:rPr>
      <w:sz w:val="24"/>
      <w:szCs w:val="24"/>
    </w:rPr>
  </w:style>
  <w:style w:type="paragraph" w:styleId="NormalWeb">
    <w:name w:val="Normal (Web)"/>
    <w:basedOn w:val="Normal"/>
    <w:link w:val="NormalWebChar"/>
    <w:uiPriority w:val="99"/>
    <w:qFormat/>
    <w:pPr>
      <w:spacing w:before="100" w:beforeAutospacing="1" w:after="100" w:afterAutospacing="1" w:line="240" w:lineRule="auto"/>
    </w:pPr>
    <w:rPr>
      <w:sz w:val="24"/>
      <w:szCs w:val="24"/>
    </w:rPr>
  </w:style>
  <w:style w:type="character" w:styleId="CommentReference">
    <w:name w:val="annotation reference"/>
    <w:uiPriority w:val="99"/>
    <w:semiHidden/>
    <w:rPr>
      <w:rFonts w:cs="Times New Roman"/>
      <w:sz w:val="16"/>
      <w:szCs w:val="16"/>
    </w:rPr>
  </w:style>
  <w:style w:type="paragraph" w:customStyle="1" w:styleId="CharCharCharChar">
    <w:name w:val="Char Char Char Char"/>
    <w:basedOn w:val="Normal"/>
    <w:pPr>
      <w:spacing w:after="160" w:line="240" w:lineRule="exact"/>
    </w:pPr>
    <w:rPr>
      <w:rFonts w:ascii="Verdana" w:eastAsia="Times New Roman" w:hAnsi="Verdana"/>
      <w:sz w:val="20"/>
      <w:szCs w:val="20"/>
    </w:rPr>
  </w:style>
  <w:style w:type="paragraph" w:customStyle="1" w:styleId="Char">
    <w:name w:val="Char"/>
    <w:basedOn w:val="Normal"/>
    <w:autoRedefin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FollowedHyperlink">
    <w:name w:val="FollowedHyperlink"/>
    <w:uiPriority w:val="99"/>
    <w:semiHidden/>
    <w:unhideWhenUsed/>
    <w:rPr>
      <w:color w:val="800080"/>
      <w:u w:val="single"/>
    </w:rPr>
  </w:style>
  <w:style w:type="paragraph" w:customStyle="1" w:styleId="font5">
    <w:name w:val="font5"/>
    <w:basedOn w:val="Normal"/>
    <w:pPr>
      <w:spacing w:before="100" w:beforeAutospacing="1" w:after="100" w:afterAutospacing="1" w:line="240" w:lineRule="auto"/>
    </w:pPr>
    <w:rPr>
      <w:rFonts w:ascii="Times New Roman" w:eastAsia="Times New Roman" w:hAnsi="Times New Roman"/>
      <w:b/>
      <w:bCs/>
      <w:sz w:val="32"/>
      <w:szCs w:val="32"/>
    </w:rPr>
  </w:style>
  <w:style w:type="paragraph" w:customStyle="1" w:styleId="font6">
    <w:name w:val="font6"/>
    <w:basedOn w:val="Normal"/>
    <w:pPr>
      <w:spacing w:before="100" w:beforeAutospacing="1" w:after="100" w:afterAutospacing="1" w:line="240" w:lineRule="auto"/>
    </w:pPr>
    <w:rPr>
      <w:rFonts w:ascii="Times New Roman" w:eastAsia="Times New Roman" w:hAnsi="Times New Roman"/>
      <w:sz w:val="28"/>
      <w:szCs w:val="28"/>
    </w:rPr>
  </w:style>
  <w:style w:type="paragraph" w:customStyle="1" w:styleId="font7">
    <w:name w:val="font7"/>
    <w:basedOn w:val="Normal"/>
    <w:pPr>
      <w:spacing w:before="100" w:beforeAutospacing="1" w:after="100" w:afterAutospacing="1" w:line="240" w:lineRule="auto"/>
    </w:pPr>
    <w:rPr>
      <w:rFonts w:ascii="Times New Roman" w:eastAsia="Times New Roman" w:hAnsi="Times New Roman"/>
      <w:b/>
      <w:bCs/>
      <w:sz w:val="32"/>
      <w:szCs w:val="32"/>
    </w:rPr>
  </w:style>
  <w:style w:type="paragraph" w:customStyle="1" w:styleId="xl224">
    <w:name w:val="xl224"/>
    <w:basedOn w:val="Normal"/>
    <w:pP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25">
    <w:name w:val="xl225"/>
    <w:basedOn w:val="Normal"/>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26">
    <w:name w:val="xl226"/>
    <w:basedOn w:val="Normal"/>
    <w:pPr>
      <w:spacing w:before="100" w:beforeAutospacing="1" w:after="100" w:afterAutospacing="1" w:line="240" w:lineRule="auto"/>
      <w:jc w:val="right"/>
      <w:textAlignment w:val="center"/>
    </w:pPr>
    <w:rPr>
      <w:rFonts w:ascii="Times New Roman" w:eastAsia="Times New Roman" w:hAnsi="Times New Roman"/>
      <w:b/>
      <w:bCs/>
      <w:sz w:val="32"/>
      <w:szCs w:val="32"/>
    </w:rPr>
  </w:style>
  <w:style w:type="paragraph" w:customStyle="1" w:styleId="xl227">
    <w:name w:val="xl227"/>
    <w:basedOn w:val="Normal"/>
    <w:pPr>
      <w:spacing w:before="100" w:beforeAutospacing="1" w:after="100" w:afterAutospacing="1" w:line="240" w:lineRule="auto"/>
      <w:jc w:val="right"/>
      <w:textAlignment w:val="center"/>
    </w:pPr>
    <w:rPr>
      <w:rFonts w:ascii="Times New Roman" w:eastAsia="Times New Roman" w:hAnsi="Times New Roman"/>
      <w:sz w:val="32"/>
      <w:szCs w:val="32"/>
    </w:rPr>
  </w:style>
  <w:style w:type="paragraph" w:customStyle="1" w:styleId="xl228">
    <w:name w:val="xl228"/>
    <w:basedOn w:val="Normal"/>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29">
    <w:name w:val="xl229"/>
    <w:basedOn w:val="Normal"/>
    <w:pPr>
      <w:spacing w:before="100" w:beforeAutospacing="1" w:after="100" w:afterAutospacing="1" w:line="240" w:lineRule="auto"/>
      <w:textAlignment w:val="center"/>
    </w:pPr>
    <w:rPr>
      <w:rFonts w:ascii="Times New Roman" w:eastAsia="Times New Roman" w:hAnsi="Times New Roman"/>
      <w:color w:val="FFFFFF"/>
      <w:sz w:val="28"/>
      <w:szCs w:val="28"/>
    </w:rPr>
  </w:style>
  <w:style w:type="paragraph" w:customStyle="1" w:styleId="xl230">
    <w:name w:val="xl23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1">
    <w:name w:val="xl231"/>
    <w:basedOn w:val="Normal"/>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2">
    <w:name w:val="xl232"/>
    <w:basedOn w:val="Normal"/>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3">
    <w:name w:val="xl233"/>
    <w:basedOn w:val="Normal"/>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4">
    <w:name w:val="xl234"/>
    <w:basedOn w:val="Normal"/>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5">
    <w:name w:val="xl235"/>
    <w:basedOn w:val="Normal"/>
    <w:pP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36">
    <w:name w:val="xl236"/>
    <w:basedOn w:val="Normal"/>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7">
    <w:name w:val="xl23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8">
    <w:name w:val="xl23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9">
    <w:name w:val="xl23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0">
    <w:name w:val="xl24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1">
    <w:name w:val="xl24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42">
    <w:name w:val="xl24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3">
    <w:name w:val="xl24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44">
    <w:name w:val="xl24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5">
    <w:name w:val="xl245"/>
    <w:basedOn w:val="Normal"/>
    <w:pPr>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246">
    <w:name w:val="xl24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7">
    <w:name w:val="xl24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8">
    <w:name w:val="xl24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9">
    <w:name w:val="xl24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50">
    <w:name w:val="xl25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rPr>
  </w:style>
  <w:style w:type="paragraph" w:customStyle="1" w:styleId="xl251">
    <w:name w:val="xl25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rPr>
  </w:style>
  <w:style w:type="paragraph" w:customStyle="1" w:styleId="xl252">
    <w:name w:val="xl25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53">
    <w:name w:val="xl25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4">
    <w:name w:val="xl25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55">
    <w:name w:val="xl25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56">
    <w:name w:val="xl256"/>
    <w:basedOn w:val="Normal"/>
    <w:pPr>
      <w:spacing w:before="100" w:beforeAutospacing="1" w:after="100" w:afterAutospacing="1" w:line="240" w:lineRule="auto"/>
      <w:textAlignment w:val="center"/>
    </w:pPr>
    <w:rPr>
      <w:rFonts w:ascii="Times New Roman" w:eastAsia="Times New Roman" w:hAnsi="Times New Roman"/>
      <w:b/>
      <w:bCs/>
      <w:i/>
      <w:iCs/>
      <w:sz w:val="32"/>
      <w:szCs w:val="32"/>
    </w:rPr>
  </w:style>
  <w:style w:type="paragraph" w:customStyle="1" w:styleId="xl257">
    <w:name w:val="xl257"/>
    <w:basedOn w:val="Normal"/>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58">
    <w:name w:val="xl25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9">
    <w:name w:val="xl259"/>
    <w:basedOn w:val="Normal"/>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0">
    <w:name w:val="xl26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61">
    <w:name w:val="xl26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62">
    <w:name w:val="xl26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63">
    <w:name w:val="xl26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4">
    <w:name w:val="xl2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rPr>
  </w:style>
  <w:style w:type="paragraph" w:customStyle="1" w:styleId="xl265">
    <w:name w:val="xl2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66">
    <w:name w:val="xl2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rPr>
  </w:style>
  <w:style w:type="paragraph" w:customStyle="1" w:styleId="xl267">
    <w:name w:val="xl2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8"/>
      <w:szCs w:val="28"/>
    </w:rPr>
  </w:style>
  <w:style w:type="paragraph" w:customStyle="1" w:styleId="xl268">
    <w:name w:val="xl268"/>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9">
    <w:name w:val="xl269"/>
    <w:basedOn w:val="Normal"/>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0">
    <w:name w:val="xl27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1">
    <w:name w:val="xl271"/>
    <w:basedOn w:val="Normal"/>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2">
    <w:name w:val="xl272"/>
    <w:basedOn w:val="Normal"/>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3">
    <w:name w:val="xl273"/>
    <w:basedOn w:val="Normal"/>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4">
    <w:name w:val="xl274"/>
    <w:basedOn w:val="Normal"/>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5">
    <w:name w:val="xl275"/>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6">
    <w:name w:val="xl276"/>
    <w:basedOn w:val="Normal"/>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7">
    <w:name w:val="xl277"/>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8">
    <w:name w:val="xl278"/>
    <w:basedOn w:val="Normal"/>
    <w:pPr>
      <w:spacing w:before="100" w:beforeAutospacing="1" w:after="100" w:afterAutospacing="1" w:line="240" w:lineRule="auto"/>
      <w:jc w:val="right"/>
      <w:textAlignment w:val="center"/>
    </w:pPr>
    <w:rPr>
      <w:rFonts w:ascii="Times New Roman" w:eastAsia="Times New Roman" w:hAnsi="Times New Roman"/>
      <w:b/>
      <w:bCs/>
      <w:i/>
      <w:iCs/>
      <w:sz w:val="32"/>
      <w:szCs w:val="32"/>
    </w:rPr>
  </w:style>
  <w:style w:type="paragraph" w:customStyle="1" w:styleId="xl279">
    <w:name w:val="xl279"/>
    <w:basedOn w:val="Normal"/>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0">
    <w:name w:val="xl280"/>
    <w:basedOn w:val="Normal"/>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1">
    <w:name w:val="xl281"/>
    <w:basedOn w:val="Normal"/>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2">
    <w:name w:val="xl282"/>
    <w:basedOn w:val="Normal"/>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3">
    <w:name w:val="xl283"/>
    <w:basedOn w:val="Normal"/>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32"/>
      <w:szCs w:val="32"/>
    </w:rPr>
  </w:style>
  <w:style w:type="paragraph" w:customStyle="1" w:styleId="xl284">
    <w:name w:val="xl284"/>
    <w:basedOn w:val="Normal"/>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5">
    <w:name w:val="xl285"/>
    <w:basedOn w:val="Normal"/>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6">
    <w:name w:val="xl286"/>
    <w:basedOn w:val="Normal"/>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7">
    <w:name w:val="xl287"/>
    <w:basedOn w:val="Normal"/>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8">
    <w:name w:val="xl288"/>
    <w:basedOn w:val="Normal"/>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89">
    <w:name w:val="xl289"/>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90">
    <w:name w:val="xl290"/>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91">
    <w:name w:val="xl291"/>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pPr>
      <w:spacing w:after="160" w:line="240" w:lineRule="exact"/>
    </w:pPr>
    <w:rPr>
      <w:rFonts w:ascii="Arial" w:eastAsia="Times New Roman" w:hAnsi="Arial"/>
    </w:rPr>
  </w:style>
  <w:style w:type="character" w:customStyle="1" w:styleId="5yl5">
    <w:name w:val="_5yl5"/>
  </w:style>
  <w:style w:type="paragraph" w:customStyle="1" w:styleId="Default">
    <w:name w:val="Default"/>
    <w:pPr>
      <w:autoSpaceDE w:val="0"/>
      <w:autoSpaceDN w:val="0"/>
      <w:adjustRightInd w:val="0"/>
    </w:pPr>
    <w:rPr>
      <w:rFonts w:ascii="Times New Roman" w:eastAsia="Arial" w:hAnsi="Times New Roman"/>
      <w:color w:val="000000"/>
      <w:sz w:val="24"/>
      <w:szCs w:val="24"/>
      <w:lang w:val="vi-VN"/>
    </w:rPr>
  </w:style>
  <w:style w:type="paragraph" w:styleId="NoSpacing">
    <w:name w:val="No Spacing"/>
    <w:qFormat/>
    <w:rPr>
      <w:rFonts w:ascii="Times New Roman" w:eastAsia="Times New Roman" w:hAnsi="Times New Roman"/>
    </w:rPr>
  </w:style>
  <w:style w:type="paragraph" w:styleId="BodyTextIndent3">
    <w:name w:val="Body Text Indent 3"/>
    <w:basedOn w:val="Normal"/>
    <w:link w:val="BodyTextIndent3Char"/>
    <w:uiPriority w:val="99"/>
    <w:semiHidden/>
    <w:unhideWhenUsed/>
    <w:pPr>
      <w:spacing w:before="120" w:after="120" w:line="360" w:lineRule="exact"/>
      <w:ind w:left="360" w:firstLine="567"/>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sz w:val="16"/>
      <w:szCs w:val="16"/>
    </w:rPr>
  </w:style>
  <w:style w:type="paragraph" w:customStyle="1" w:styleId="LO-normal">
    <w:name w:val="LO-normal"/>
    <w:basedOn w:val="Normal"/>
    <w:pPr>
      <w:suppressAutoHyphens/>
      <w:spacing w:before="280" w:after="280" w:line="240" w:lineRule="auto"/>
    </w:pPr>
    <w:rPr>
      <w:rFonts w:ascii="Times New Roman" w:eastAsia="SimSun" w:hAnsi="Times New Roman"/>
      <w:color w:val="000000"/>
      <w:kern w:val="1"/>
      <w:sz w:val="24"/>
      <w:szCs w:val="24"/>
      <w:lang w:eastAsia="zh-CN"/>
    </w:rPr>
  </w:style>
  <w:style w:type="character" w:customStyle="1" w:styleId="Bodytext20">
    <w:name w:val="Body text (2)_"/>
    <w:link w:val="Bodytext21"/>
    <w:rPr>
      <w:rFonts w:ascii="Times New Roman" w:hAnsi="Times New Roman"/>
      <w:sz w:val="26"/>
      <w:szCs w:val="26"/>
      <w:shd w:val="clear" w:color="auto" w:fill="FFFFFF"/>
    </w:rPr>
  </w:style>
  <w:style w:type="paragraph" w:customStyle="1" w:styleId="Bodytext21">
    <w:name w:val="Body text (2)1"/>
    <w:basedOn w:val="Normal"/>
    <w:link w:val="Bodytext20"/>
    <w:pPr>
      <w:widowControl w:val="0"/>
      <w:shd w:val="clear" w:color="auto" w:fill="FFFFFF"/>
      <w:spacing w:before="180" w:after="60" w:line="360" w:lineRule="exact"/>
      <w:ind w:hanging="360"/>
      <w:jc w:val="both"/>
    </w:pPr>
    <w:rPr>
      <w:rFonts w:ascii="Times New Roman" w:hAnsi="Times New Roman"/>
      <w:sz w:val="26"/>
      <w:szCs w:val="26"/>
    </w:rPr>
  </w:style>
  <w:style w:type="character" w:customStyle="1" w:styleId="ChthchnhExact">
    <w:name w:val="Chú thích ảnh Exact"/>
    <w:link w:val="Chthchnh"/>
    <w:rPr>
      <w:b/>
      <w:bCs/>
      <w:spacing w:val="11"/>
      <w:sz w:val="22"/>
      <w:szCs w:val="22"/>
      <w:shd w:val="clear" w:color="auto" w:fill="FFFFFF"/>
    </w:rPr>
  </w:style>
  <w:style w:type="paragraph" w:customStyle="1" w:styleId="Chthchnh">
    <w:name w:val="Chú thích ảnh"/>
    <w:basedOn w:val="Normal"/>
    <w:link w:val="ChthchnhExact"/>
    <w:pPr>
      <w:widowControl w:val="0"/>
      <w:shd w:val="clear" w:color="auto" w:fill="FFFFFF"/>
      <w:spacing w:after="0" w:line="0" w:lineRule="atLeast"/>
    </w:pPr>
    <w:rPr>
      <w:b/>
      <w:bCs/>
      <w:spacing w:val="11"/>
    </w:rPr>
  </w:style>
  <w:style w:type="paragraph" w:customStyle="1" w:styleId="DefaultStyle">
    <w:name w:val="Default Style"/>
    <w:pPr>
      <w:suppressAutoHyphens/>
      <w:spacing w:after="200" w:line="276" w:lineRule="auto"/>
    </w:pPr>
    <w:rPr>
      <w:rFonts w:ascii="Times New Roman" w:eastAsia="Times New Roman" w:hAnsi="Times New Roman"/>
      <w:lang w:eastAsia="hi-IN" w:bidi="hi-IN"/>
    </w:rPr>
  </w:style>
  <w:style w:type="character" w:customStyle="1" w:styleId="Bodytext2Bold7">
    <w:name w:val="Body text (2) + Bold7"/>
    <w:uiPriority w:val="99"/>
    <w:rPr>
      <w:rFonts w:ascii="Times New Roman" w:hAnsi="Times New Roman" w:cs="Times New Roman"/>
      <w:b/>
      <w:bCs/>
      <w:sz w:val="26"/>
      <w:szCs w:val="26"/>
      <w:u w:val="none"/>
      <w:shd w:val="clear" w:color="auto" w:fill="FFFFFF"/>
    </w:rPr>
  </w:style>
  <w:style w:type="paragraph" w:customStyle="1" w:styleId="Bodytext22">
    <w:name w:val="Body text (2)"/>
    <w:basedOn w:val="Normal"/>
    <w:pPr>
      <w:widowControl w:val="0"/>
      <w:shd w:val="clear" w:color="auto" w:fill="FFFFFF"/>
      <w:spacing w:before="600" w:after="480" w:line="240" w:lineRule="atLeast"/>
      <w:jc w:val="center"/>
    </w:pPr>
    <w:rPr>
      <w:rFonts w:ascii="Times New Roman" w:eastAsia="Arial Unicode MS" w:hAnsi="Times New Roman"/>
      <w:sz w:val="26"/>
      <w:szCs w:val="26"/>
      <w:lang w:val="vi-VN"/>
    </w:rPr>
  </w:style>
  <w:style w:type="character" w:customStyle="1" w:styleId="Bodytext0">
    <w:name w:val="Body text_"/>
    <w:link w:val="BodyText1"/>
    <w:rPr>
      <w:rFonts w:ascii="Times New Roman" w:eastAsia="Times New Roman" w:hAnsi="Times New Roman"/>
      <w:sz w:val="26"/>
      <w:szCs w:val="26"/>
      <w:shd w:val="clear" w:color="auto" w:fill="FFFFFF"/>
    </w:rPr>
  </w:style>
  <w:style w:type="paragraph" w:customStyle="1" w:styleId="BodyText1">
    <w:name w:val="Body Text1"/>
    <w:basedOn w:val="Normal"/>
    <w:link w:val="Bodytext0"/>
    <w:qFormat/>
    <w:pPr>
      <w:widowControl w:val="0"/>
      <w:shd w:val="clear" w:color="auto" w:fill="FFFFFF"/>
      <w:spacing w:after="80" w:line="257" w:lineRule="auto"/>
      <w:ind w:firstLine="400"/>
      <w:jc w:val="both"/>
    </w:pPr>
    <w:rPr>
      <w:rFonts w:ascii="Times New Roman" w:eastAsia="Times New Roman" w:hAnsi="Times New Roman"/>
      <w:sz w:val="26"/>
      <w:szCs w:val="26"/>
    </w:rPr>
  </w:style>
  <w:style w:type="paragraph" w:customStyle="1" w:styleId="Bodytext10">
    <w:name w:val="Body text1"/>
    <w:basedOn w:val="Normal"/>
    <w:uiPriority w:val="99"/>
    <w:pPr>
      <w:widowControl w:val="0"/>
      <w:shd w:val="clear" w:color="auto" w:fill="FFFFFF"/>
      <w:spacing w:before="660" w:after="60" w:line="320" w:lineRule="exact"/>
      <w:jc w:val="both"/>
    </w:pPr>
    <w:rPr>
      <w:rFonts w:ascii="Times New Roman" w:eastAsia="Times New Roman" w:hAnsi="Times New Roman"/>
      <w:sz w:val="28"/>
      <w:szCs w:val="26"/>
    </w:rPr>
  </w:style>
  <w:style w:type="character" w:customStyle="1" w:styleId="Heading10">
    <w:name w:val="Heading #1_"/>
    <w:link w:val="Heading11"/>
    <w:rPr>
      <w:rFonts w:ascii="Times New Roman" w:eastAsia="Times New Roman" w:hAnsi="Times New Roman"/>
      <w:b/>
      <w:bCs/>
      <w:sz w:val="26"/>
      <w:szCs w:val="26"/>
      <w:shd w:val="clear" w:color="auto" w:fill="FFFFFF"/>
    </w:rPr>
  </w:style>
  <w:style w:type="paragraph" w:customStyle="1" w:styleId="Heading11">
    <w:name w:val="Heading #1"/>
    <w:basedOn w:val="Normal"/>
    <w:link w:val="Heading10"/>
    <w:pPr>
      <w:widowControl w:val="0"/>
      <w:shd w:val="clear" w:color="auto" w:fill="FFFFFF"/>
      <w:spacing w:after="100" w:line="259" w:lineRule="auto"/>
      <w:ind w:firstLine="740"/>
      <w:jc w:val="both"/>
      <w:outlineLvl w:val="0"/>
    </w:pPr>
    <w:rPr>
      <w:rFonts w:ascii="Times New Roman" w:eastAsia="Times New Roman" w:hAnsi="Times New Roman"/>
      <w:b/>
      <w:bCs/>
      <w:sz w:val="26"/>
      <w:szCs w:val="26"/>
    </w:rPr>
  </w:style>
  <w:style w:type="character" w:customStyle="1" w:styleId="BodyTextChar1">
    <w:name w:val="Body Text Char1"/>
    <w:uiPriority w:val="99"/>
    <w:rPr>
      <w:rFonts w:cs="Times New Roman"/>
      <w:sz w:val="26"/>
      <w:szCs w:val="26"/>
      <w:shd w:val="clear" w:color="auto" w:fill="FFFFFF"/>
    </w:rPr>
  </w:style>
  <w:style w:type="paragraph" w:styleId="CommentText">
    <w:name w:val="annotation text"/>
    <w:basedOn w:val="Normal"/>
    <w:link w:val="CommentTextChar"/>
    <w:uiPriority w:val="99"/>
    <w:semiHidden/>
    <w:unhideWhenUsed/>
    <w:pPr>
      <w:spacing w:before="120" w:after="120" w:line="240" w:lineRule="auto"/>
      <w:ind w:firstLine="567"/>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FootnoteText">
    <w:name w:val="footnote text"/>
    <w:basedOn w:val="Normal"/>
    <w:link w:val="FootnoteTextChar"/>
    <w:uiPriority w:val="99"/>
    <w:unhideWhenUsed/>
    <w:pPr>
      <w:spacing w:after="0" w:line="240" w:lineRule="auto"/>
      <w:ind w:firstLine="56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rPr>
  </w:style>
  <w:style w:type="character" w:styleId="FootnoteReference">
    <w:name w:val="footnote reference"/>
    <w:uiPriority w:val="99"/>
    <w:unhideWhenUsed/>
    <w:rPr>
      <w:vertAlign w:val="superscript"/>
    </w:rPr>
  </w:style>
  <w:style w:type="paragraph" w:styleId="TOCHeading">
    <w:name w:val="TOC Heading"/>
    <w:basedOn w:val="Heading1"/>
    <w:next w:val="Normal"/>
    <w:uiPriority w:val="39"/>
    <w:unhideWhenUsed/>
    <w:qFormat/>
    <w:pPr>
      <w:keepLines/>
      <w:spacing w:before="240" w:after="0" w:line="259" w:lineRule="auto"/>
      <w:ind w:firstLine="0"/>
      <w:jc w:val="left"/>
      <w:outlineLvl w:val="9"/>
    </w:pPr>
    <w:rPr>
      <w:rFonts w:ascii="Cambria" w:eastAsia="Times New Roman" w:hAnsi="Cambria"/>
      <w:i w:val="0"/>
      <w:iCs w:val="0"/>
      <w:color w:val="365F91"/>
      <w:sz w:val="32"/>
      <w:szCs w:val="32"/>
    </w:rPr>
  </w:style>
  <w:style w:type="paragraph" w:customStyle="1" w:styleId="ContentforFigures">
    <w:name w:val="Content for Figures"/>
    <w:basedOn w:val="TableofFigures"/>
    <w:qFormat/>
    <w:pPr>
      <w:tabs>
        <w:tab w:val="right" w:leader="dot" w:pos="9307"/>
      </w:tabs>
      <w:spacing w:before="60" w:after="60" w:line="276" w:lineRule="auto"/>
      <w:ind w:firstLine="0"/>
      <w:jc w:val="left"/>
    </w:pPr>
    <w:rPr>
      <w:noProof/>
      <w:sz w:val="27"/>
      <w:szCs w:val="22"/>
    </w:rPr>
  </w:style>
  <w:style w:type="paragraph" w:styleId="TableofFigures">
    <w:name w:val="table of figures"/>
    <w:basedOn w:val="Normal"/>
    <w:next w:val="Normal"/>
    <w:uiPriority w:val="99"/>
    <w:semiHidden/>
    <w:unhideWhenUsed/>
    <w:pPr>
      <w:spacing w:before="120" w:after="0" w:line="360" w:lineRule="exact"/>
      <w:ind w:firstLine="567"/>
      <w:jc w:val="both"/>
    </w:pPr>
    <w:rPr>
      <w:rFonts w:ascii="Times New Roman" w:eastAsia="Times New Roman" w:hAnsi="Times New Roman"/>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8">
    <w:name w:val="xl88"/>
    <w:basedOn w:val="Normal"/>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3">
    <w:name w:val="xl93"/>
    <w:basedOn w:val="Normal"/>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7832">
      <w:bodyDiv w:val="1"/>
      <w:marLeft w:val="0"/>
      <w:marRight w:val="0"/>
      <w:marTop w:val="0"/>
      <w:marBottom w:val="0"/>
      <w:divBdr>
        <w:top w:val="none" w:sz="0" w:space="0" w:color="auto"/>
        <w:left w:val="none" w:sz="0" w:space="0" w:color="auto"/>
        <w:bottom w:val="none" w:sz="0" w:space="0" w:color="auto"/>
        <w:right w:val="none" w:sz="0" w:space="0" w:color="auto"/>
      </w:divBdr>
    </w:div>
    <w:div w:id="160968505">
      <w:bodyDiv w:val="1"/>
      <w:marLeft w:val="0"/>
      <w:marRight w:val="0"/>
      <w:marTop w:val="0"/>
      <w:marBottom w:val="0"/>
      <w:divBdr>
        <w:top w:val="none" w:sz="0" w:space="0" w:color="auto"/>
        <w:left w:val="none" w:sz="0" w:space="0" w:color="auto"/>
        <w:bottom w:val="none" w:sz="0" w:space="0" w:color="auto"/>
        <w:right w:val="none" w:sz="0" w:space="0" w:color="auto"/>
      </w:divBdr>
    </w:div>
    <w:div w:id="196819708">
      <w:bodyDiv w:val="1"/>
      <w:marLeft w:val="0"/>
      <w:marRight w:val="0"/>
      <w:marTop w:val="0"/>
      <w:marBottom w:val="0"/>
      <w:divBdr>
        <w:top w:val="none" w:sz="0" w:space="0" w:color="auto"/>
        <w:left w:val="none" w:sz="0" w:space="0" w:color="auto"/>
        <w:bottom w:val="none" w:sz="0" w:space="0" w:color="auto"/>
        <w:right w:val="none" w:sz="0" w:space="0" w:color="auto"/>
      </w:divBdr>
    </w:div>
    <w:div w:id="220332510">
      <w:bodyDiv w:val="1"/>
      <w:marLeft w:val="0"/>
      <w:marRight w:val="0"/>
      <w:marTop w:val="0"/>
      <w:marBottom w:val="0"/>
      <w:divBdr>
        <w:top w:val="none" w:sz="0" w:space="0" w:color="auto"/>
        <w:left w:val="none" w:sz="0" w:space="0" w:color="auto"/>
        <w:bottom w:val="none" w:sz="0" w:space="0" w:color="auto"/>
        <w:right w:val="none" w:sz="0" w:space="0" w:color="auto"/>
      </w:divBdr>
    </w:div>
    <w:div w:id="254675355">
      <w:bodyDiv w:val="1"/>
      <w:marLeft w:val="0"/>
      <w:marRight w:val="0"/>
      <w:marTop w:val="0"/>
      <w:marBottom w:val="0"/>
      <w:divBdr>
        <w:top w:val="none" w:sz="0" w:space="0" w:color="auto"/>
        <w:left w:val="none" w:sz="0" w:space="0" w:color="auto"/>
        <w:bottom w:val="none" w:sz="0" w:space="0" w:color="auto"/>
        <w:right w:val="none" w:sz="0" w:space="0" w:color="auto"/>
      </w:divBdr>
    </w:div>
    <w:div w:id="393163930">
      <w:bodyDiv w:val="1"/>
      <w:marLeft w:val="0"/>
      <w:marRight w:val="0"/>
      <w:marTop w:val="0"/>
      <w:marBottom w:val="0"/>
      <w:divBdr>
        <w:top w:val="none" w:sz="0" w:space="0" w:color="auto"/>
        <w:left w:val="none" w:sz="0" w:space="0" w:color="auto"/>
        <w:bottom w:val="none" w:sz="0" w:space="0" w:color="auto"/>
        <w:right w:val="none" w:sz="0" w:space="0" w:color="auto"/>
      </w:divBdr>
    </w:div>
    <w:div w:id="478423703">
      <w:bodyDiv w:val="1"/>
      <w:marLeft w:val="0"/>
      <w:marRight w:val="0"/>
      <w:marTop w:val="0"/>
      <w:marBottom w:val="0"/>
      <w:divBdr>
        <w:top w:val="none" w:sz="0" w:space="0" w:color="auto"/>
        <w:left w:val="none" w:sz="0" w:space="0" w:color="auto"/>
        <w:bottom w:val="none" w:sz="0" w:space="0" w:color="auto"/>
        <w:right w:val="none" w:sz="0" w:space="0" w:color="auto"/>
      </w:divBdr>
    </w:div>
    <w:div w:id="520431680">
      <w:bodyDiv w:val="1"/>
      <w:marLeft w:val="0"/>
      <w:marRight w:val="0"/>
      <w:marTop w:val="0"/>
      <w:marBottom w:val="0"/>
      <w:divBdr>
        <w:top w:val="none" w:sz="0" w:space="0" w:color="auto"/>
        <w:left w:val="none" w:sz="0" w:space="0" w:color="auto"/>
        <w:bottom w:val="none" w:sz="0" w:space="0" w:color="auto"/>
        <w:right w:val="none" w:sz="0" w:space="0" w:color="auto"/>
      </w:divBdr>
    </w:div>
    <w:div w:id="530536860">
      <w:bodyDiv w:val="1"/>
      <w:marLeft w:val="0"/>
      <w:marRight w:val="0"/>
      <w:marTop w:val="0"/>
      <w:marBottom w:val="0"/>
      <w:divBdr>
        <w:top w:val="none" w:sz="0" w:space="0" w:color="auto"/>
        <w:left w:val="none" w:sz="0" w:space="0" w:color="auto"/>
        <w:bottom w:val="none" w:sz="0" w:space="0" w:color="auto"/>
        <w:right w:val="none" w:sz="0" w:space="0" w:color="auto"/>
      </w:divBdr>
    </w:div>
    <w:div w:id="555699946">
      <w:bodyDiv w:val="1"/>
      <w:marLeft w:val="0"/>
      <w:marRight w:val="0"/>
      <w:marTop w:val="0"/>
      <w:marBottom w:val="0"/>
      <w:divBdr>
        <w:top w:val="none" w:sz="0" w:space="0" w:color="auto"/>
        <w:left w:val="none" w:sz="0" w:space="0" w:color="auto"/>
        <w:bottom w:val="none" w:sz="0" w:space="0" w:color="auto"/>
        <w:right w:val="none" w:sz="0" w:space="0" w:color="auto"/>
      </w:divBdr>
    </w:div>
    <w:div w:id="602538135">
      <w:bodyDiv w:val="1"/>
      <w:marLeft w:val="0"/>
      <w:marRight w:val="0"/>
      <w:marTop w:val="0"/>
      <w:marBottom w:val="0"/>
      <w:divBdr>
        <w:top w:val="none" w:sz="0" w:space="0" w:color="auto"/>
        <w:left w:val="none" w:sz="0" w:space="0" w:color="auto"/>
        <w:bottom w:val="none" w:sz="0" w:space="0" w:color="auto"/>
        <w:right w:val="none" w:sz="0" w:space="0" w:color="auto"/>
      </w:divBdr>
    </w:div>
    <w:div w:id="692456547">
      <w:bodyDiv w:val="1"/>
      <w:marLeft w:val="0"/>
      <w:marRight w:val="0"/>
      <w:marTop w:val="0"/>
      <w:marBottom w:val="0"/>
      <w:divBdr>
        <w:top w:val="none" w:sz="0" w:space="0" w:color="auto"/>
        <w:left w:val="none" w:sz="0" w:space="0" w:color="auto"/>
        <w:bottom w:val="none" w:sz="0" w:space="0" w:color="auto"/>
        <w:right w:val="none" w:sz="0" w:space="0" w:color="auto"/>
      </w:divBdr>
    </w:div>
    <w:div w:id="721289890">
      <w:bodyDiv w:val="1"/>
      <w:marLeft w:val="0"/>
      <w:marRight w:val="0"/>
      <w:marTop w:val="0"/>
      <w:marBottom w:val="0"/>
      <w:divBdr>
        <w:top w:val="none" w:sz="0" w:space="0" w:color="auto"/>
        <w:left w:val="none" w:sz="0" w:space="0" w:color="auto"/>
        <w:bottom w:val="none" w:sz="0" w:space="0" w:color="auto"/>
        <w:right w:val="none" w:sz="0" w:space="0" w:color="auto"/>
      </w:divBdr>
    </w:div>
    <w:div w:id="768500598">
      <w:bodyDiv w:val="1"/>
      <w:marLeft w:val="0"/>
      <w:marRight w:val="0"/>
      <w:marTop w:val="0"/>
      <w:marBottom w:val="0"/>
      <w:divBdr>
        <w:top w:val="none" w:sz="0" w:space="0" w:color="auto"/>
        <w:left w:val="none" w:sz="0" w:space="0" w:color="auto"/>
        <w:bottom w:val="none" w:sz="0" w:space="0" w:color="auto"/>
        <w:right w:val="none" w:sz="0" w:space="0" w:color="auto"/>
      </w:divBdr>
    </w:div>
    <w:div w:id="781266818">
      <w:bodyDiv w:val="1"/>
      <w:marLeft w:val="0"/>
      <w:marRight w:val="0"/>
      <w:marTop w:val="0"/>
      <w:marBottom w:val="0"/>
      <w:divBdr>
        <w:top w:val="none" w:sz="0" w:space="0" w:color="auto"/>
        <w:left w:val="none" w:sz="0" w:space="0" w:color="auto"/>
        <w:bottom w:val="none" w:sz="0" w:space="0" w:color="auto"/>
        <w:right w:val="none" w:sz="0" w:space="0" w:color="auto"/>
      </w:divBdr>
    </w:div>
    <w:div w:id="799110584">
      <w:bodyDiv w:val="1"/>
      <w:marLeft w:val="0"/>
      <w:marRight w:val="0"/>
      <w:marTop w:val="0"/>
      <w:marBottom w:val="0"/>
      <w:divBdr>
        <w:top w:val="none" w:sz="0" w:space="0" w:color="auto"/>
        <w:left w:val="none" w:sz="0" w:space="0" w:color="auto"/>
        <w:bottom w:val="none" w:sz="0" w:space="0" w:color="auto"/>
        <w:right w:val="none" w:sz="0" w:space="0" w:color="auto"/>
      </w:divBdr>
    </w:div>
    <w:div w:id="942222798">
      <w:bodyDiv w:val="1"/>
      <w:marLeft w:val="0"/>
      <w:marRight w:val="0"/>
      <w:marTop w:val="0"/>
      <w:marBottom w:val="0"/>
      <w:divBdr>
        <w:top w:val="none" w:sz="0" w:space="0" w:color="auto"/>
        <w:left w:val="none" w:sz="0" w:space="0" w:color="auto"/>
        <w:bottom w:val="none" w:sz="0" w:space="0" w:color="auto"/>
        <w:right w:val="none" w:sz="0" w:space="0" w:color="auto"/>
      </w:divBdr>
    </w:div>
    <w:div w:id="1006178205">
      <w:bodyDiv w:val="1"/>
      <w:marLeft w:val="0"/>
      <w:marRight w:val="0"/>
      <w:marTop w:val="0"/>
      <w:marBottom w:val="0"/>
      <w:divBdr>
        <w:top w:val="none" w:sz="0" w:space="0" w:color="auto"/>
        <w:left w:val="none" w:sz="0" w:space="0" w:color="auto"/>
        <w:bottom w:val="none" w:sz="0" w:space="0" w:color="auto"/>
        <w:right w:val="none" w:sz="0" w:space="0" w:color="auto"/>
      </w:divBdr>
    </w:div>
    <w:div w:id="1023088571">
      <w:bodyDiv w:val="1"/>
      <w:marLeft w:val="0"/>
      <w:marRight w:val="0"/>
      <w:marTop w:val="0"/>
      <w:marBottom w:val="0"/>
      <w:divBdr>
        <w:top w:val="none" w:sz="0" w:space="0" w:color="auto"/>
        <w:left w:val="none" w:sz="0" w:space="0" w:color="auto"/>
        <w:bottom w:val="none" w:sz="0" w:space="0" w:color="auto"/>
        <w:right w:val="none" w:sz="0" w:space="0" w:color="auto"/>
      </w:divBdr>
    </w:div>
    <w:div w:id="1131560000">
      <w:bodyDiv w:val="1"/>
      <w:marLeft w:val="0"/>
      <w:marRight w:val="0"/>
      <w:marTop w:val="0"/>
      <w:marBottom w:val="0"/>
      <w:divBdr>
        <w:top w:val="none" w:sz="0" w:space="0" w:color="auto"/>
        <w:left w:val="none" w:sz="0" w:space="0" w:color="auto"/>
        <w:bottom w:val="none" w:sz="0" w:space="0" w:color="auto"/>
        <w:right w:val="none" w:sz="0" w:space="0" w:color="auto"/>
      </w:divBdr>
    </w:div>
    <w:div w:id="1200357872">
      <w:bodyDiv w:val="1"/>
      <w:marLeft w:val="0"/>
      <w:marRight w:val="0"/>
      <w:marTop w:val="0"/>
      <w:marBottom w:val="0"/>
      <w:divBdr>
        <w:top w:val="none" w:sz="0" w:space="0" w:color="auto"/>
        <w:left w:val="none" w:sz="0" w:space="0" w:color="auto"/>
        <w:bottom w:val="none" w:sz="0" w:space="0" w:color="auto"/>
        <w:right w:val="none" w:sz="0" w:space="0" w:color="auto"/>
      </w:divBdr>
    </w:div>
    <w:div w:id="1213880009">
      <w:bodyDiv w:val="1"/>
      <w:marLeft w:val="0"/>
      <w:marRight w:val="0"/>
      <w:marTop w:val="0"/>
      <w:marBottom w:val="0"/>
      <w:divBdr>
        <w:top w:val="none" w:sz="0" w:space="0" w:color="auto"/>
        <w:left w:val="none" w:sz="0" w:space="0" w:color="auto"/>
        <w:bottom w:val="none" w:sz="0" w:space="0" w:color="auto"/>
        <w:right w:val="none" w:sz="0" w:space="0" w:color="auto"/>
      </w:divBdr>
    </w:div>
    <w:div w:id="1213882886">
      <w:bodyDiv w:val="1"/>
      <w:marLeft w:val="0"/>
      <w:marRight w:val="0"/>
      <w:marTop w:val="0"/>
      <w:marBottom w:val="0"/>
      <w:divBdr>
        <w:top w:val="none" w:sz="0" w:space="0" w:color="auto"/>
        <w:left w:val="none" w:sz="0" w:space="0" w:color="auto"/>
        <w:bottom w:val="none" w:sz="0" w:space="0" w:color="auto"/>
        <w:right w:val="none" w:sz="0" w:space="0" w:color="auto"/>
      </w:divBdr>
    </w:div>
    <w:div w:id="1313874883">
      <w:bodyDiv w:val="1"/>
      <w:marLeft w:val="0"/>
      <w:marRight w:val="0"/>
      <w:marTop w:val="0"/>
      <w:marBottom w:val="0"/>
      <w:divBdr>
        <w:top w:val="none" w:sz="0" w:space="0" w:color="auto"/>
        <w:left w:val="none" w:sz="0" w:space="0" w:color="auto"/>
        <w:bottom w:val="none" w:sz="0" w:space="0" w:color="auto"/>
        <w:right w:val="none" w:sz="0" w:space="0" w:color="auto"/>
      </w:divBdr>
    </w:div>
    <w:div w:id="1328052892">
      <w:bodyDiv w:val="1"/>
      <w:marLeft w:val="0"/>
      <w:marRight w:val="0"/>
      <w:marTop w:val="0"/>
      <w:marBottom w:val="0"/>
      <w:divBdr>
        <w:top w:val="none" w:sz="0" w:space="0" w:color="auto"/>
        <w:left w:val="none" w:sz="0" w:space="0" w:color="auto"/>
        <w:bottom w:val="none" w:sz="0" w:space="0" w:color="auto"/>
        <w:right w:val="none" w:sz="0" w:space="0" w:color="auto"/>
      </w:divBdr>
    </w:div>
    <w:div w:id="1353609350">
      <w:bodyDiv w:val="1"/>
      <w:marLeft w:val="0"/>
      <w:marRight w:val="0"/>
      <w:marTop w:val="0"/>
      <w:marBottom w:val="0"/>
      <w:divBdr>
        <w:top w:val="none" w:sz="0" w:space="0" w:color="auto"/>
        <w:left w:val="none" w:sz="0" w:space="0" w:color="auto"/>
        <w:bottom w:val="none" w:sz="0" w:space="0" w:color="auto"/>
        <w:right w:val="none" w:sz="0" w:space="0" w:color="auto"/>
      </w:divBdr>
    </w:div>
    <w:div w:id="1359968952">
      <w:bodyDiv w:val="1"/>
      <w:marLeft w:val="0"/>
      <w:marRight w:val="0"/>
      <w:marTop w:val="0"/>
      <w:marBottom w:val="0"/>
      <w:divBdr>
        <w:top w:val="none" w:sz="0" w:space="0" w:color="auto"/>
        <w:left w:val="none" w:sz="0" w:space="0" w:color="auto"/>
        <w:bottom w:val="none" w:sz="0" w:space="0" w:color="auto"/>
        <w:right w:val="none" w:sz="0" w:space="0" w:color="auto"/>
      </w:divBdr>
    </w:div>
    <w:div w:id="1440756353">
      <w:bodyDiv w:val="1"/>
      <w:marLeft w:val="0"/>
      <w:marRight w:val="0"/>
      <w:marTop w:val="0"/>
      <w:marBottom w:val="0"/>
      <w:divBdr>
        <w:top w:val="none" w:sz="0" w:space="0" w:color="auto"/>
        <w:left w:val="none" w:sz="0" w:space="0" w:color="auto"/>
        <w:bottom w:val="none" w:sz="0" w:space="0" w:color="auto"/>
        <w:right w:val="none" w:sz="0" w:space="0" w:color="auto"/>
      </w:divBdr>
    </w:div>
    <w:div w:id="1590582341">
      <w:bodyDiv w:val="1"/>
      <w:marLeft w:val="0"/>
      <w:marRight w:val="0"/>
      <w:marTop w:val="0"/>
      <w:marBottom w:val="0"/>
      <w:divBdr>
        <w:top w:val="none" w:sz="0" w:space="0" w:color="auto"/>
        <w:left w:val="none" w:sz="0" w:space="0" w:color="auto"/>
        <w:bottom w:val="none" w:sz="0" w:space="0" w:color="auto"/>
        <w:right w:val="none" w:sz="0" w:space="0" w:color="auto"/>
      </w:divBdr>
    </w:div>
    <w:div w:id="1765373289">
      <w:bodyDiv w:val="1"/>
      <w:marLeft w:val="0"/>
      <w:marRight w:val="0"/>
      <w:marTop w:val="0"/>
      <w:marBottom w:val="0"/>
      <w:divBdr>
        <w:top w:val="none" w:sz="0" w:space="0" w:color="auto"/>
        <w:left w:val="none" w:sz="0" w:space="0" w:color="auto"/>
        <w:bottom w:val="none" w:sz="0" w:space="0" w:color="auto"/>
        <w:right w:val="none" w:sz="0" w:space="0" w:color="auto"/>
      </w:divBdr>
    </w:div>
    <w:div w:id="1799760007">
      <w:bodyDiv w:val="1"/>
      <w:marLeft w:val="0"/>
      <w:marRight w:val="0"/>
      <w:marTop w:val="0"/>
      <w:marBottom w:val="0"/>
      <w:divBdr>
        <w:top w:val="none" w:sz="0" w:space="0" w:color="auto"/>
        <w:left w:val="none" w:sz="0" w:space="0" w:color="auto"/>
        <w:bottom w:val="none" w:sz="0" w:space="0" w:color="auto"/>
        <w:right w:val="none" w:sz="0" w:space="0" w:color="auto"/>
      </w:divBdr>
    </w:div>
    <w:div w:id="1998071451">
      <w:bodyDiv w:val="1"/>
      <w:marLeft w:val="0"/>
      <w:marRight w:val="0"/>
      <w:marTop w:val="0"/>
      <w:marBottom w:val="0"/>
      <w:divBdr>
        <w:top w:val="none" w:sz="0" w:space="0" w:color="auto"/>
        <w:left w:val="none" w:sz="0" w:space="0" w:color="auto"/>
        <w:bottom w:val="none" w:sz="0" w:space="0" w:color="auto"/>
        <w:right w:val="none" w:sz="0" w:space="0" w:color="auto"/>
      </w:divBdr>
    </w:div>
    <w:div w:id="2023239966">
      <w:bodyDiv w:val="1"/>
      <w:marLeft w:val="0"/>
      <w:marRight w:val="0"/>
      <w:marTop w:val="0"/>
      <w:marBottom w:val="0"/>
      <w:divBdr>
        <w:top w:val="none" w:sz="0" w:space="0" w:color="auto"/>
        <w:left w:val="none" w:sz="0" w:space="0" w:color="auto"/>
        <w:bottom w:val="none" w:sz="0" w:space="0" w:color="auto"/>
        <w:right w:val="none" w:sz="0" w:space="0" w:color="auto"/>
      </w:divBdr>
    </w:div>
    <w:div w:id="2042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dl.thutuchanhchinh.vn/tw/Pages/chi-tiet-thu-tuc-hanh-chinh.aspx?ItemID=252861&amp;tthcDonVi=B%E1%BB%99%20Giao%20th%C3%B4ng%20v%E1%BA%ADn%20t%E1%BA%A3i" TargetMode="External"/><Relationship Id="rId18" Type="http://schemas.openxmlformats.org/officeDocument/2006/relationships/hyperlink" Target="javascript:__doPostBack('ctl00$Place_Main_Right8$g_4891d33c_b3fd_4cbd_b679_25d2f5135512$ctl00$rptDanhMucThuTuc$ctl20$lbThuTucDetai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csdl.thutuchanhchinh.vn/tw/Pages/chi-tiet-thu-tuc-hanh-chinh.aspx?ItemID=252860&amp;tthcDonVi=B%E1%BB%99%20Giao%20th%C3%B4ng%20v%E1%BA%ADn%20t%E1%BA%A3i" TargetMode="External"/><Relationship Id="rId17" Type="http://schemas.openxmlformats.org/officeDocument/2006/relationships/hyperlink" Target="javascript:__doPostBack('ctl00$Place_Main_Right8$g_4891d33c_b3fd_4cbd_b679_25d2f5135512$ctl00$rptDanhMucThuTuc$ctl18$lbThuTucDetail','')" TargetMode="External"/><Relationship Id="rId2" Type="http://schemas.openxmlformats.org/officeDocument/2006/relationships/numbering" Target="numbering.xml"/><Relationship Id="rId16" Type="http://schemas.openxmlformats.org/officeDocument/2006/relationships/hyperlink" Target="https://dmec.moh.gov.v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dl.thutuchanhchinh.vn/tw/Pages/chi-tiet-thu-tuc-hanh-chinh.aspx?ItemID=252859&amp;tthcDonVi=B%E1%BB%99%20Giao%20th%C3%B4ng%20v%E1%BA%ADn%20t%E1%BA%A3i" TargetMode="External"/><Relationship Id="rId5" Type="http://schemas.openxmlformats.org/officeDocument/2006/relationships/settings" Target="settings.xml"/><Relationship Id="rId15" Type="http://schemas.openxmlformats.org/officeDocument/2006/relationships/hyperlink" Target="https://dmec.moh.gov.vn/" TargetMode="External"/><Relationship Id="rId23" Type="http://schemas.openxmlformats.org/officeDocument/2006/relationships/theme" Target="theme/theme1.xml"/><Relationship Id="rId10" Type="http://schemas.openxmlformats.org/officeDocument/2006/relationships/hyperlink" Target="http://csdl.thutuchanhchinh.vn/tw/Pages/chi-tiet-thu-tuc-hanh-chinh.aspx?ItemID=252856&amp;tthcDonVi=B%E1%BB%99%20Giao%20th%C3%B4ng%20v%E1%BA%ADn%20t%E1%BA%A3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sdl.thutuchanhchinh.vn/tw/Pages/chi-tiet-thu-tuc-hanh-chinh.aspx?ItemID=252856&amp;tthcDonVi=B%E1%BB%99%20Giao%20th%C3%B4ng%20v%E1%BA%ADn%20t%E1%BA%A3i" TargetMode="External"/><Relationship Id="rId14" Type="http://schemas.openxmlformats.org/officeDocument/2006/relationships/hyperlink" Target="https://dmec.moh.gov.v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A26D-5399-437B-BB66-DE5C9865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6455</Words>
  <Characters>36794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NIIT Thang Long</Company>
  <LinksUpToDate>false</LinksUpToDate>
  <CharactersWithSpaces>43163</CharactersWithSpaces>
  <SharedDoc>false</SharedDoc>
  <HLinks>
    <vt:vector size="468" baseType="variant">
      <vt:variant>
        <vt:i4>1966173</vt:i4>
      </vt:variant>
      <vt:variant>
        <vt:i4>231</vt:i4>
      </vt:variant>
      <vt:variant>
        <vt:i4>0</vt:i4>
      </vt:variant>
      <vt:variant>
        <vt:i4>5</vt:i4>
      </vt:variant>
      <vt:variant>
        <vt:lpwstr>http://csdl.thutuchanhchinh.vn/tinhthanh/Pages/chitiet-tthc.aspx?path=tthc-bo-nganh&amp;ItemID=328690</vt:lpwstr>
      </vt:variant>
      <vt:variant>
        <vt:lpwstr/>
      </vt:variant>
      <vt:variant>
        <vt:i4>7864358</vt:i4>
      </vt:variant>
      <vt:variant>
        <vt:i4>228</vt:i4>
      </vt:variant>
      <vt:variant>
        <vt:i4>0</vt:i4>
      </vt:variant>
      <vt:variant>
        <vt:i4>5</vt:i4>
      </vt:variant>
      <vt:variant>
        <vt:lpwstr>http://csdl.thutuchanhchinh.vn/tw/Pages/chi-tiet-thu-tuc-hanh-chinh.aspx?ItemID=256827&amp;tthcDonVi=B%E1%BB%99%20Giao%20th%C3%B4ng%20v%E1%BA%ADn%20t%E1%BA%A3i</vt:lpwstr>
      </vt:variant>
      <vt:variant>
        <vt:lpwstr/>
      </vt:variant>
      <vt:variant>
        <vt:i4>7733283</vt:i4>
      </vt:variant>
      <vt:variant>
        <vt:i4>225</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7733283</vt:i4>
      </vt:variant>
      <vt:variant>
        <vt:i4>222</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7340065</vt:i4>
      </vt:variant>
      <vt:variant>
        <vt:i4>219</vt:i4>
      </vt:variant>
      <vt:variant>
        <vt:i4>0</vt:i4>
      </vt:variant>
      <vt:variant>
        <vt:i4>5</vt:i4>
      </vt:variant>
      <vt:variant>
        <vt:lpwstr>http://csdl.thutuchanhchinh.vn/tw/Pages/chi-tiet-thu-tuc-hanh-chinh.aspx?ItemID=256651&amp;tthcDonVi=B%E1%BB%99%20Giao%20th%C3%B4ng%20v%E1%BA%ADn%20t%E1%BA%A3i</vt:lpwstr>
      </vt:variant>
      <vt:variant>
        <vt:lpwstr/>
      </vt:variant>
      <vt:variant>
        <vt:i4>8257574</vt:i4>
      </vt:variant>
      <vt:variant>
        <vt:i4>216</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8257574</vt:i4>
      </vt:variant>
      <vt:variant>
        <vt:i4>213</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4005464</vt:i4>
      </vt:variant>
      <vt:variant>
        <vt:i4>210</vt:i4>
      </vt:variant>
      <vt:variant>
        <vt:i4>0</vt:i4>
      </vt:variant>
      <vt:variant>
        <vt:i4>5</vt:i4>
      </vt:variant>
      <vt:variant>
        <vt:lpwstr>C:\Users\HONGHA\HONGHA\AppData\Local\Temp\Rar$DIa0.755\Noi dung tthc chuẩn hóa 6.2018.doc</vt:lpwstr>
      </vt:variant>
      <vt:variant>
        <vt:lpwstr>QLGT_19</vt:lpwstr>
      </vt:variant>
      <vt:variant>
        <vt:i4>4005464</vt:i4>
      </vt:variant>
      <vt:variant>
        <vt:i4>207</vt:i4>
      </vt:variant>
      <vt:variant>
        <vt:i4>0</vt:i4>
      </vt:variant>
      <vt:variant>
        <vt:i4>5</vt:i4>
      </vt:variant>
      <vt:variant>
        <vt:lpwstr>C:\Users\HONGHA\HONGHA\AppData\Local\Temp\Rar$DIa0.755\Noi dung tthc chuẩn hóa 6.2018.doc</vt:lpwstr>
      </vt:variant>
      <vt:variant>
        <vt:lpwstr>QLGT_18</vt:lpwstr>
      </vt:variant>
      <vt:variant>
        <vt:i4>4005464</vt:i4>
      </vt:variant>
      <vt:variant>
        <vt:i4>204</vt:i4>
      </vt:variant>
      <vt:variant>
        <vt:i4>0</vt:i4>
      </vt:variant>
      <vt:variant>
        <vt:i4>5</vt:i4>
      </vt:variant>
      <vt:variant>
        <vt:lpwstr>C:\Users\HONGHA\HONGHA\AppData\Local\Temp\Rar$DIa0.755\Noi dung tthc chuẩn hóa 6.2018.doc</vt:lpwstr>
      </vt:variant>
      <vt:variant>
        <vt:lpwstr>QLGT_17</vt:lpwstr>
      </vt:variant>
      <vt:variant>
        <vt:i4>4005464</vt:i4>
      </vt:variant>
      <vt:variant>
        <vt:i4>201</vt:i4>
      </vt:variant>
      <vt:variant>
        <vt:i4>0</vt:i4>
      </vt:variant>
      <vt:variant>
        <vt:i4>5</vt:i4>
      </vt:variant>
      <vt:variant>
        <vt:lpwstr>C:\Users\HONGHA\HONGHA\AppData\Local\Temp\Rar$DIa0.755\Noi dung tthc chuẩn hóa 6.2018.doc</vt:lpwstr>
      </vt:variant>
      <vt:variant>
        <vt:lpwstr>QLGT_16</vt:lpwstr>
      </vt:variant>
      <vt:variant>
        <vt:i4>4005464</vt:i4>
      </vt:variant>
      <vt:variant>
        <vt:i4>198</vt:i4>
      </vt:variant>
      <vt:variant>
        <vt:i4>0</vt:i4>
      </vt:variant>
      <vt:variant>
        <vt:i4>5</vt:i4>
      </vt:variant>
      <vt:variant>
        <vt:lpwstr>C:\Users\HONGHA\HONGHA\AppData\Local\Temp\Rar$DIa0.755\Noi dung tthc chuẩn hóa 6.2018.doc</vt:lpwstr>
      </vt:variant>
      <vt:variant>
        <vt:lpwstr>QLGT_15</vt:lpwstr>
      </vt:variant>
      <vt:variant>
        <vt:i4>4005464</vt:i4>
      </vt:variant>
      <vt:variant>
        <vt:i4>195</vt:i4>
      </vt:variant>
      <vt:variant>
        <vt:i4>0</vt:i4>
      </vt:variant>
      <vt:variant>
        <vt:i4>5</vt:i4>
      </vt:variant>
      <vt:variant>
        <vt:lpwstr>C:\Users\HONGHA\HONGHA\AppData\Local\Temp\Rar$DIa0.755\Noi dung tthc chuẩn hóa 6.2018.doc</vt:lpwstr>
      </vt:variant>
      <vt:variant>
        <vt:lpwstr>QLGT_14</vt:lpwstr>
      </vt:variant>
      <vt:variant>
        <vt:i4>7798821</vt:i4>
      </vt:variant>
      <vt:variant>
        <vt:i4>192</vt:i4>
      </vt:variant>
      <vt:variant>
        <vt:i4>0</vt:i4>
      </vt:variant>
      <vt:variant>
        <vt:i4>5</vt:i4>
      </vt:variant>
      <vt:variant>
        <vt:lpwstr>http://csdl.thutuchanhchinh.vn/tw/Pages/chi-tiet-thu-tuc-hanh-chinh.aspx?ItemID=252858&amp;tthcDonVi=B%E1%BB%99%20Giao%20th%C3%B4ng%20v%E1%BA%ADn%20t%E1%BA%A3i</vt:lpwstr>
      </vt:variant>
      <vt:variant>
        <vt:lpwstr/>
      </vt:variant>
      <vt:variant>
        <vt:i4>8192038</vt:i4>
      </vt:variant>
      <vt:variant>
        <vt:i4>189</vt:i4>
      </vt:variant>
      <vt:variant>
        <vt:i4>0</vt:i4>
      </vt:variant>
      <vt:variant>
        <vt:i4>5</vt:i4>
      </vt:variant>
      <vt:variant>
        <vt:lpwstr>http://csdl.thutuchanhchinh.vn/tw/Pages/chi-tiet-thu-tuc-hanh-chinh.aspx?ItemID=252862&amp;tthcDonVi=B%E1%BB%99%20Giao%20th%C3%B4ng%20v%E1%BA%ADn%20t%E1%BA%A3i</vt:lpwstr>
      </vt:variant>
      <vt:variant>
        <vt:lpwstr/>
      </vt:variant>
      <vt:variant>
        <vt:i4>7929893</vt:i4>
      </vt:variant>
      <vt:variant>
        <vt:i4>186</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7929893</vt:i4>
      </vt:variant>
      <vt:variant>
        <vt:i4>183</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7667749</vt:i4>
      </vt:variant>
      <vt:variant>
        <vt:i4>180</vt:i4>
      </vt:variant>
      <vt:variant>
        <vt:i4>0</vt:i4>
      </vt:variant>
      <vt:variant>
        <vt:i4>5</vt:i4>
      </vt:variant>
      <vt:variant>
        <vt:lpwstr>http://csdl.thutuchanhchinh.vn/tw/Pages/chi-tiet-thu-tuc-hanh-chinh.aspx?ItemID=457062&amp;tthcDonVi=B%E1%BB%99%20Giao%20th%C3%B4ng%20v%E1%BA%ADn%20t%E1%BA%A3i</vt:lpwstr>
      </vt:variant>
      <vt:variant>
        <vt:lpwstr/>
      </vt:variant>
      <vt:variant>
        <vt:i4>8257574</vt:i4>
      </vt:variant>
      <vt:variant>
        <vt:i4>177</vt:i4>
      </vt:variant>
      <vt:variant>
        <vt:i4>0</vt:i4>
      </vt:variant>
      <vt:variant>
        <vt:i4>5</vt:i4>
      </vt:variant>
      <vt:variant>
        <vt:lpwstr>http://csdl.thutuchanhchinh.vn/tw/Pages/chi-tiet-thu-tuc-hanh-chinh.aspx?ItemID=252861&amp;tthcDonVi=B%E1%BB%99%20Giao%20th%C3%B4ng%20v%E1%BA%ADn%20t%E1%BA%A3i</vt:lpwstr>
      </vt:variant>
      <vt:variant>
        <vt:lpwstr/>
      </vt:variant>
      <vt:variant>
        <vt:i4>8323110</vt:i4>
      </vt:variant>
      <vt:variant>
        <vt:i4>174</vt:i4>
      </vt:variant>
      <vt:variant>
        <vt:i4>0</vt:i4>
      </vt:variant>
      <vt:variant>
        <vt:i4>5</vt:i4>
      </vt:variant>
      <vt:variant>
        <vt:lpwstr>http://csdl.thutuchanhchinh.vn/tw/Pages/chi-tiet-thu-tuc-hanh-chinh.aspx?ItemID=252860&amp;tthcDonVi=B%E1%BB%99%20Giao%20th%C3%B4ng%20v%E1%BA%ADn%20t%E1%BA%A3i</vt:lpwstr>
      </vt:variant>
      <vt:variant>
        <vt:lpwstr/>
      </vt:variant>
      <vt:variant>
        <vt:i4>7733285</vt:i4>
      </vt:variant>
      <vt:variant>
        <vt:i4>171</vt:i4>
      </vt:variant>
      <vt:variant>
        <vt:i4>0</vt:i4>
      </vt:variant>
      <vt:variant>
        <vt:i4>5</vt:i4>
      </vt:variant>
      <vt:variant>
        <vt:lpwstr>http://csdl.thutuchanhchinh.vn/tw/Pages/chi-tiet-thu-tuc-hanh-chinh.aspx?ItemID=252859&amp;tthcDonVi=B%E1%BB%99%20Giao%20th%C3%B4ng%20v%E1%BA%ADn%20t%E1%BA%A3i</vt:lpwstr>
      </vt:variant>
      <vt:variant>
        <vt:lpwstr/>
      </vt:variant>
      <vt:variant>
        <vt:i4>7798816</vt:i4>
      </vt:variant>
      <vt:variant>
        <vt:i4>168</vt:i4>
      </vt:variant>
      <vt:variant>
        <vt:i4>0</vt:i4>
      </vt:variant>
      <vt:variant>
        <vt:i4>5</vt:i4>
      </vt:variant>
      <vt:variant>
        <vt:lpwstr>http://csdl.thutuchanhchinh.vn/tw/Pages/chi-tiet-thu-tuc-hanh-chinh.aspx?ItemID=256848&amp;tthcDonVi=B%E1%BB%99%20Giao%20th%C3%B4ng%20v%E1%BA%ADn%20t%E1%BA%A3i</vt:lpwstr>
      </vt:variant>
      <vt:variant>
        <vt:lpwstr/>
      </vt:variant>
      <vt:variant>
        <vt:i4>7733280</vt:i4>
      </vt:variant>
      <vt:variant>
        <vt:i4>165</vt:i4>
      </vt:variant>
      <vt:variant>
        <vt:i4>0</vt:i4>
      </vt:variant>
      <vt:variant>
        <vt:i4>5</vt:i4>
      </vt:variant>
      <vt:variant>
        <vt:lpwstr>http://csdl.thutuchanhchinh.vn/tw/Pages/chi-tiet-thu-tuc-hanh-chinh.aspx?ItemID=256849&amp;tthcDonVi=B%E1%BB%99%20Giao%20th%C3%B4ng%20v%E1%BA%ADn%20t%E1%BA%A3i</vt:lpwstr>
      </vt:variant>
      <vt:variant>
        <vt:lpwstr/>
      </vt:variant>
      <vt:variant>
        <vt:i4>8192032</vt:i4>
      </vt:variant>
      <vt:variant>
        <vt:i4>162</vt:i4>
      </vt:variant>
      <vt:variant>
        <vt:i4>0</vt:i4>
      </vt:variant>
      <vt:variant>
        <vt:i4>5</vt:i4>
      </vt:variant>
      <vt:variant>
        <vt:lpwstr>http://csdl.thutuchanhchinh.vn/tw/Pages/chi-tiet-thu-tuc-hanh-chinh.aspx?ItemID=256842&amp;tthcDonVi=B%E1%BB%99%20Giao%20th%C3%B4ng%20v%E1%BA%ADn%20t%E1%BA%A3i</vt:lpwstr>
      </vt:variant>
      <vt:variant>
        <vt:lpwstr/>
      </vt:variant>
      <vt:variant>
        <vt:i4>4136536</vt:i4>
      </vt:variant>
      <vt:variant>
        <vt:i4>159</vt:i4>
      </vt:variant>
      <vt:variant>
        <vt:i4>0</vt:i4>
      </vt:variant>
      <vt:variant>
        <vt:i4>5</vt:i4>
      </vt:variant>
      <vt:variant>
        <vt:lpwstr>C:\Users\HONGHA\HONGHA\AppData\Local\Temp\Rar$DIa0.755\Noi dung tthc chuẩn hóa 6.2018.doc</vt:lpwstr>
      </vt:variant>
      <vt:variant>
        <vt:lpwstr>QLGT_30</vt:lpwstr>
      </vt:variant>
      <vt:variant>
        <vt:i4>4071000</vt:i4>
      </vt:variant>
      <vt:variant>
        <vt:i4>156</vt:i4>
      </vt:variant>
      <vt:variant>
        <vt:i4>0</vt:i4>
      </vt:variant>
      <vt:variant>
        <vt:i4>5</vt:i4>
      </vt:variant>
      <vt:variant>
        <vt:lpwstr>C:\Users\HONGHA\HONGHA\AppData\Local\Temp\Rar$DIa0.755\Noi dung tthc chuẩn hóa 6.2018.doc</vt:lpwstr>
      </vt:variant>
      <vt:variant>
        <vt:lpwstr>QLGT_29</vt:lpwstr>
      </vt:variant>
      <vt:variant>
        <vt:i4>7733285</vt:i4>
      </vt:variant>
      <vt:variant>
        <vt:i4>153</vt:i4>
      </vt:variant>
      <vt:variant>
        <vt:i4>0</vt:i4>
      </vt:variant>
      <vt:variant>
        <vt:i4>5</vt:i4>
      </vt:variant>
      <vt:variant>
        <vt:lpwstr>http://csdl.thutuchanhchinh.vn/tw/Pages/chi-tiet-thu-tuc-hanh-chinh.aspx?ItemID=457061&amp;tthcDonVi=B%E1%BB%99%20Giao%20th%C3%B4ng%20v%E1%BA%ADn%20t%E1%BA%A3i</vt:lpwstr>
      </vt:variant>
      <vt:variant>
        <vt:lpwstr/>
      </vt:variant>
      <vt:variant>
        <vt:i4>2031710</vt:i4>
      </vt:variant>
      <vt:variant>
        <vt:i4>150</vt:i4>
      </vt:variant>
      <vt:variant>
        <vt:i4>0</vt:i4>
      </vt:variant>
      <vt:variant>
        <vt:i4>5</vt:i4>
      </vt:variant>
      <vt:variant>
        <vt:lpwstr>http://csdl.thutuchanhchinh.vn/tinhthanh/Pages/chitiet-tthc.aspx?path=tthc-bo-nganh&amp;ItemID=515636</vt:lpwstr>
      </vt:variant>
      <vt:variant>
        <vt:lpwstr/>
      </vt:variant>
      <vt:variant>
        <vt:i4>1572958</vt:i4>
      </vt:variant>
      <vt:variant>
        <vt:i4>147</vt:i4>
      </vt:variant>
      <vt:variant>
        <vt:i4>0</vt:i4>
      </vt:variant>
      <vt:variant>
        <vt:i4>5</vt:i4>
      </vt:variant>
      <vt:variant>
        <vt:lpwstr>http://csdl.thutuchanhchinh.vn/tinhthanh/Pages/chitiet-tthc.aspx?path=tthc-bo-nganh&amp;ItemID=515641</vt:lpwstr>
      </vt:variant>
      <vt:variant>
        <vt:lpwstr/>
      </vt:variant>
      <vt:variant>
        <vt:i4>4071000</vt:i4>
      </vt:variant>
      <vt:variant>
        <vt:i4>144</vt:i4>
      </vt:variant>
      <vt:variant>
        <vt:i4>0</vt:i4>
      </vt:variant>
      <vt:variant>
        <vt:i4>5</vt:i4>
      </vt:variant>
      <vt:variant>
        <vt:lpwstr>C:\Users\HONGHA\HONGHA\AppData\Local\Temp\Rar$DIa0.755\Noi dung tthc chuẩn hóa 6.2018.doc</vt:lpwstr>
      </vt:variant>
      <vt:variant>
        <vt:lpwstr>QLGT_28</vt:lpwstr>
      </vt:variant>
      <vt:variant>
        <vt:i4>4071000</vt:i4>
      </vt:variant>
      <vt:variant>
        <vt:i4>141</vt:i4>
      </vt:variant>
      <vt:variant>
        <vt:i4>0</vt:i4>
      </vt:variant>
      <vt:variant>
        <vt:i4>5</vt:i4>
      </vt:variant>
      <vt:variant>
        <vt:lpwstr>C:\Users\HONGHA\HONGHA\AppData\Local\Temp\Rar$DIa0.755\Noi dung tthc chuẩn hóa 6.2018.doc</vt:lpwstr>
      </vt:variant>
      <vt:variant>
        <vt:lpwstr>QLGT_27</vt:lpwstr>
      </vt:variant>
      <vt:variant>
        <vt:i4>4071000</vt:i4>
      </vt:variant>
      <vt:variant>
        <vt:i4>138</vt:i4>
      </vt:variant>
      <vt:variant>
        <vt:i4>0</vt:i4>
      </vt:variant>
      <vt:variant>
        <vt:i4>5</vt:i4>
      </vt:variant>
      <vt:variant>
        <vt:lpwstr>C:\Users\HONGHA\HONGHA\AppData\Local\Temp\Rar$DIa0.755\Noi dung tthc chuẩn hóa 6.2018.doc</vt:lpwstr>
      </vt:variant>
      <vt:variant>
        <vt:lpwstr>QLGT_26</vt:lpwstr>
      </vt:variant>
      <vt:variant>
        <vt:i4>4071000</vt:i4>
      </vt:variant>
      <vt:variant>
        <vt:i4>135</vt:i4>
      </vt:variant>
      <vt:variant>
        <vt:i4>0</vt:i4>
      </vt:variant>
      <vt:variant>
        <vt:i4>5</vt:i4>
      </vt:variant>
      <vt:variant>
        <vt:lpwstr>C:\Users\HONGHA\HONGHA\AppData\Local\Temp\Rar$DIa0.755\Noi dung tthc chuẩn hóa 6.2018.doc</vt:lpwstr>
      </vt:variant>
      <vt:variant>
        <vt:lpwstr>QLGT_25</vt:lpwstr>
      </vt:variant>
      <vt:variant>
        <vt:i4>5898364</vt:i4>
      </vt:variant>
      <vt:variant>
        <vt:i4>132</vt:i4>
      </vt:variant>
      <vt:variant>
        <vt:i4>0</vt:i4>
      </vt:variant>
      <vt:variant>
        <vt:i4>5</vt:i4>
      </vt:variant>
      <vt:variant>
        <vt:lpwstr>javascript:__doPostBack('ctl00$ctl00$SPWebPartManager$g_ec30cf66_c1d4_4956_bf95_28f0423172c8$ctl00$rptDanhMucThuTuc$ctl29$lbThuTucDetail','')</vt:lpwstr>
      </vt:variant>
      <vt:variant>
        <vt:lpwstr/>
      </vt:variant>
      <vt:variant>
        <vt:i4>5898355</vt:i4>
      </vt:variant>
      <vt:variant>
        <vt:i4>129</vt:i4>
      </vt:variant>
      <vt:variant>
        <vt:i4>0</vt:i4>
      </vt:variant>
      <vt:variant>
        <vt:i4>5</vt:i4>
      </vt:variant>
      <vt:variant>
        <vt:lpwstr>javascript:__doPostBack('ctl00$ctl00$SPWebPartManager$g_ec30cf66_c1d4_4956_bf95_28f0423172c8$ctl00$rptDanhMucThuTuc$ctl26$lbThuTucDetail','')</vt:lpwstr>
      </vt:variant>
      <vt:variant>
        <vt:lpwstr/>
      </vt:variant>
      <vt:variant>
        <vt:i4>5898352</vt:i4>
      </vt:variant>
      <vt:variant>
        <vt:i4>126</vt:i4>
      </vt:variant>
      <vt:variant>
        <vt:i4>0</vt:i4>
      </vt:variant>
      <vt:variant>
        <vt:i4>5</vt:i4>
      </vt:variant>
      <vt:variant>
        <vt:lpwstr>javascript:__doPostBack('ctl00$ctl00$SPWebPartManager$g_ec30cf66_c1d4_4956_bf95_28f0423172c8$ctl00$rptDanhMucThuTuc$ctl25$lbThuTucDetail','')</vt:lpwstr>
      </vt:variant>
      <vt:variant>
        <vt:lpwstr/>
      </vt:variant>
      <vt:variant>
        <vt:i4>5898353</vt:i4>
      </vt:variant>
      <vt:variant>
        <vt:i4>123</vt:i4>
      </vt:variant>
      <vt:variant>
        <vt:i4>0</vt:i4>
      </vt:variant>
      <vt:variant>
        <vt:i4>5</vt:i4>
      </vt:variant>
      <vt:variant>
        <vt:lpwstr>javascript:__doPostBack('ctl00$ctl00$SPWebPartManager$g_ec30cf66_c1d4_4956_bf95_28f0423172c8$ctl00$rptDanhMucThuTuc$ctl24$lbThuTucDetail','')</vt:lpwstr>
      </vt:variant>
      <vt:variant>
        <vt:lpwstr/>
      </vt:variant>
      <vt:variant>
        <vt:i4>5832821</vt:i4>
      </vt:variant>
      <vt:variant>
        <vt:i4>120</vt:i4>
      </vt:variant>
      <vt:variant>
        <vt:i4>0</vt:i4>
      </vt:variant>
      <vt:variant>
        <vt:i4>5</vt:i4>
      </vt:variant>
      <vt:variant>
        <vt:lpwstr>javascript:__doPostBack('ctl00$ctl00$SPWebPartManager$g_ec30cf66_c1d4_4956_bf95_28f0423172c8$ctl00$rptDanhMucThuTuc$ctl10$lbThuTucDetail','')</vt:lpwstr>
      </vt:variant>
      <vt:variant>
        <vt:lpwstr/>
      </vt:variant>
      <vt:variant>
        <vt:i4>5767292</vt:i4>
      </vt:variant>
      <vt:variant>
        <vt:i4>117</vt:i4>
      </vt:variant>
      <vt:variant>
        <vt:i4>0</vt:i4>
      </vt:variant>
      <vt:variant>
        <vt:i4>5</vt:i4>
      </vt:variant>
      <vt:variant>
        <vt:lpwstr>javascript:__doPostBack('ctl00$ctl00$SPWebPartManager$g_ec30cf66_c1d4_4956_bf95_28f0423172c8$ctl00$rptDanhMucThuTuc$ctl09$lbThuTucDetail','')</vt:lpwstr>
      </vt:variant>
      <vt:variant>
        <vt:lpwstr/>
      </vt:variant>
      <vt:variant>
        <vt:i4>5767293</vt:i4>
      </vt:variant>
      <vt:variant>
        <vt:i4>114</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111</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5898358</vt:i4>
      </vt:variant>
      <vt:variant>
        <vt:i4>108</vt:i4>
      </vt:variant>
      <vt:variant>
        <vt:i4>0</vt:i4>
      </vt:variant>
      <vt:variant>
        <vt:i4>5</vt:i4>
      </vt:variant>
      <vt:variant>
        <vt:lpwstr>javascript:__doPostBack('ctl00$ctl00$SPWebPartManager$g_ec30cf66_c1d4_4956_bf95_28f0423172c8$ctl00$rptDanhMucThuTuc$ctl23$lbThuTucDetail','')</vt:lpwstr>
      </vt:variant>
      <vt:variant>
        <vt:lpwstr/>
      </vt:variant>
      <vt:variant>
        <vt:i4>5898359</vt:i4>
      </vt:variant>
      <vt:variant>
        <vt:i4>105</vt:i4>
      </vt:variant>
      <vt:variant>
        <vt:i4>0</vt:i4>
      </vt:variant>
      <vt:variant>
        <vt:i4>5</vt:i4>
      </vt:variant>
      <vt:variant>
        <vt:lpwstr>javascript:__doPostBack('ctl00$ctl00$SPWebPartManager$g_ec30cf66_c1d4_4956_bf95_28f0423172c8$ctl00$rptDanhMucThuTuc$ctl22$lbThuTucDetail','')</vt:lpwstr>
      </vt:variant>
      <vt:variant>
        <vt:lpwstr/>
      </vt:variant>
      <vt:variant>
        <vt:i4>5898357</vt:i4>
      </vt:variant>
      <vt:variant>
        <vt:i4>102</vt:i4>
      </vt:variant>
      <vt:variant>
        <vt:i4>0</vt:i4>
      </vt:variant>
      <vt:variant>
        <vt:i4>5</vt:i4>
      </vt:variant>
      <vt:variant>
        <vt:lpwstr>javascript:__doPostBack('ctl00$ctl00$SPWebPartManager$g_ec30cf66_c1d4_4956_bf95_28f0423172c8$ctl00$rptDanhMucThuTuc$ctl20$lbThuTucDetail','')</vt:lpwstr>
      </vt:variant>
      <vt:variant>
        <vt:lpwstr/>
      </vt:variant>
      <vt:variant>
        <vt:i4>5832828</vt:i4>
      </vt:variant>
      <vt:variant>
        <vt:i4>99</vt:i4>
      </vt:variant>
      <vt:variant>
        <vt:i4>0</vt:i4>
      </vt:variant>
      <vt:variant>
        <vt:i4>5</vt:i4>
      </vt:variant>
      <vt:variant>
        <vt:lpwstr>javascript:__doPostBack('ctl00$ctl00$SPWebPartManager$g_ec30cf66_c1d4_4956_bf95_28f0423172c8$ctl00$rptDanhMucThuTuc$ctl19$lbThuTucDetail','')</vt:lpwstr>
      </vt:variant>
      <vt:variant>
        <vt:lpwstr/>
      </vt:variant>
      <vt:variant>
        <vt:i4>5767284</vt:i4>
      </vt:variant>
      <vt:variant>
        <vt:i4>96</vt:i4>
      </vt:variant>
      <vt:variant>
        <vt:i4>0</vt:i4>
      </vt:variant>
      <vt:variant>
        <vt:i4>5</vt:i4>
      </vt:variant>
      <vt:variant>
        <vt:lpwstr>javascript:__doPostBack('ctl00$ctl00$SPWebPartManager$g_ec30cf66_c1d4_4956_bf95_28f0423172c8$ctl00$rptDanhMucThuTuc$ctl01$lbThuTucDetail','')</vt:lpwstr>
      </vt:variant>
      <vt:variant>
        <vt:lpwstr/>
      </vt:variant>
      <vt:variant>
        <vt:i4>5832823</vt:i4>
      </vt:variant>
      <vt:variant>
        <vt:i4>93</vt:i4>
      </vt:variant>
      <vt:variant>
        <vt:i4>0</vt:i4>
      </vt:variant>
      <vt:variant>
        <vt:i4>5</vt:i4>
      </vt:variant>
      <vt:variant>
        <vt:lpwstr>javascript:__doPostBack('ctl00$ctl00$SPWebPartManager$g_ec30cf66_c1d4_4956_bf95_28f0423172c8$ctl00$rptDanhMucThuTuc$ctl12$lbThuTucDetail','')</vt:lpwstr>
      </vt:variant>
      <vt:variant>
        <vt:lpwstr/>
      </vt:variant>
      <vt:variant>
        <vt:i4>5767280</vt:i4>
      </vt:variant>
      <vt:variant>
        <vt:i4>90</vt:i4>
      </vt:variant>
      <vt:variant>
        <vt:i4>0</vt:i4>
      </vt:variant>
      <vt:variant>
        <vt:i4>5</vt:i4>
      </vt:variant>
      <vt:variant>
        <vt:lpwstr>javascript:__doPostBack('ctl00$ctl00$SPWebPartManager$g_ec30cf66_c1d4_4956_bf95_28f0423172c8$ctl00$rptDanhMucThuTuc$ctl05$lbThuTucDetail','')</vt:lpwstr>
      </vt:variant>
      <vt:variant>
        <vt:lpwstr/>
      </vt:variant>
      <vt:variant>
        <vt:i4>5767281</vt:i4>
      </vt:variant>
      <vt:variant>
        <vt:i4>87</vt:i4>
      </vt:variant>
      <vt:variant>
        <vt:i4>0</vt:i4>
      </vt:variant>
      <vt:variant>
        <vt:i4>5</vt:i4>
      </vt:variant>
      <vt:variant>
        <vt:lpwstr>javascript:__doPostBack('ctl00$ctl00$SPWebPartManager$g_ec30cf66_c1d4_4956_bf95_28f0423172c8$ctl00$rptDanhMucThuTuc$ctl04$lbThuTucDetail','')</vt:lpwstr>
      </vt:variant>
      <vt:variant>
        <vt:lpwstr/>
      </vt:variant>
      <vt:variant>
        <vt:i4>5767286</vt:i4>
      </vt:variant>
      <vt:variant>
        <vt:i4>84</vt:i4>
      </vt:variant>
      <vt:variant>
        <vt:i4>0</vt:i4>
      </vt:variant>
      <vt:variant>
        <vt:i4>5</vt:i4>
      </vt:variant>
      <vt:variant>
        <vt:lpwstr>javascript:__doPostBack('ctl00$ctl00$SPWebPartManager$g_ec30cf66_c1d4_4956_bf95_28f0423172c8$ctl00$rptDanhMucThuTuc$ctl03$lbThuTucDetail','')</vt:lpwstr>
      </vt:variant>
      <vt:variant>
        <vt:lpwstr/>
      </vt:variant>
      <vt:variant>
        <vt:i4>5767287</vt:i4>
      </vt:variant>
      <vt:variant>
        <vt:i4>81</vt:i4>
      </vt:variant>
      <vt:variant>
        <vt:i4>0</vt:i4>
      </vt:variant>
      <vt:variant>
        <vt:i4>5</vt:i4>
      </vt:variant>
      <vt:variant>
        <vt:lpwstr>javascript:__doPostBack('ctl00$ctl00$SPWebPartManager$g_ec30cf66_c1d4_4956_bf95_28f0423172c8$ctl00$rptDanhMucThuTuc$ctl02$lbThuTucDetail','')</vt:lpwstr>
      </vt:variant>
      <vt:variant>
        <vt:lpwstr/>
      </vt:variant>
      <vt:variant>
        <vt:i4>5832816</vt:i4>
      </vt:variant>
      <vt:variant>
        <vt:i4>78</vt:i4>
      </vt:variant>
      <vt:variant>
        <vt:i4>0</vt:i4>
      </vt:variant>
      <vt:variant>
        <vt:i4>5</vt:i4>
      </vt:variant>
      <vt:variant>
        <vt:lpwstr>javascript:__doPostBack('ctl00$ctl00$SPWebPartManager$g_ec30cf66_c1d4_4956_bf95_28f0423172c8$ctl00$rptDanhMucThuTuc$ctl15$lbThuTucDetail','')</vt:lpwstr>
      </vt:variant>
      <vt:variant>
        <vt:lpwstr/>
      </vt:variant>
      <vt:variant>
        <vt:i4>5832817</vt:i4>
      </vt:variant>
      <vt:variant>
        <vt:i4>75</vt:i4>
      </vt:variant>
      <vt:variant>
        <vt:i4>0</vt:i4>
      </vt:variant>
      <vt:variant>
        <vt:i4>5</vt:i4>
      </vt:variant>
      <vt:variant>
        <vt:lpwstr>javascript:__doPostBack('ctl00$ctl00$SPWebPartManager$g_ec30cf66_c1d4_4956_bf95_28f0423172c8$ctl00$rptDanhMucThuTuc$ctl14$lbThuTucDetail','')</vt:lpwstr>
      </vt:variant>
      <vt:variant>
        <vt:lpwstr/>
      </vt:variant>
      <vt:variant>
        <vt:i4>5832829</vt:i4>
      </vt:variant>
      <vt:variant>
        <vt:i4>72</vt:i4>
      </vt:variant>
      <vt:variant>
        <vt:i4>0</vt:i4>
      </vt:variant>
      <vt:variant>
        <vt:i4>5</vt:i4>
      </vt:variant>
      <vt:variant>
        <vt:lpwstr>javascript:__doPostBack('ctl00$ctl00$SPWebPartManager$g_ec30cf66_c1d4_4956_bf95_28f0423172c8$ctl00$rptDanhMucThuTuc$ctl18$lbThuTucDetail','')</vt:lpwstr>
      </vt:variant>
      <vt:variant>
        <vt:lpwstr/>
      </vt:variant>
      <vt:variant>
        <vt:i4>5832818</vt:i4>
      </vt:variant>
      <vt:variant>
        <vt:i4>69</vt:i4>
      </vt:variant>
      <vt:variant>
        <vt:i4>0</vt:i4>
      </vt:variant>
      <vt:variant>
        <vt:i4>5</vt:i4>
      </vt:variant>
      <vt:variant>
        <vt:lpwstr>javascript:__doPostBack('ctl00$ctl00$SPWebPartManager$g_ec30cf66_c1d4_4956_bf95_28f0423172c8$ctl00$rptDanhMucThuTuc$ctl17$lbThuTucDetail','')</vt:lpwstr>
      </vt:variant>
      <vt:variant>
        <vt:lpwstr/>
      </vt:variant>
      <vt:variant>
        <vt:i4>5767283</vt:i4>
      </vt:variant>
      <vt:variant>
        <vt:i4>66</vt:i4>
      </vt:variant>
      <vt:variant>
        <vt:i4>0</vt:i4>
      </vt:variant>
      <vt:variant>
        <vt:i4>5</vt:i4>
      </vt:variant>
      <vt:variant>
        <vt:lpwstr>javascript:__doPostBack('ctl00$ctl00$SPWebPartManager$g_ec30cf66_c1d4_4956_bf95_28f0423172c8$ctl00$rptDanhMucThuTuc$ctl06$lbThuTucDetail','')</vt:lpwstr>
      </vt:variant>
      <vt:variant>
        <vt:lpwstr/>
      </vt:variant>
      <vt:variant>
        <vt:i4>6029431</vt:i4>
      </vt:variant>
      <vt:variant>
        <vt:i4>63</vt:i4>
      </vt:variant>
      <vt:variant>
        <vt:i4>0</vt:i4>
      </vt:variant>
      <vt:variant>
        <vt:i4>5</vt:i4>
      </vt:variant>
      <vt:variant>
        <vt:lpwstr>javascript:__doPostBack('ctl00$ctl00$SPWebPartManager$g_ec30cf66_c1d4_4956_bf95_28f0423172c8$ctl00$rptDanhMucThuTuc$ctl42$lbThuTucDetail','')</vt:lpwstr>
      </vt:variant>
      <vt:variant>
        <vt:lpwstr/>
      </vt:variant>
      <vt:variant>
        <vt:i4>6029428</vt:i4>
      </vt:variant>
      <vt:variant>
        <vt:i4>60</vt:i4>
      </vt:variant>
      <vt:variant>
        <vt:i4>0</vt:i4>
      </vt:variant>
      <vt:variant>
        <vt:i4>5</vt:i4>
      </vt:variant>
      <vt:variant>
        <vt:lpwstr>javascript:__doPostBack('ctl00$ctl00$SPWebPartManager$g_ec30cf66_c1d4_4956_bf95_28f0423172c8$ctl00$rptDanhMucThuTuc$ctl41$lbThuTucDetail','')</vt:lpwstr>
      </vt:variant>
      <vt:variant>
        <vt:lpwstr/>
      </vt:variant>
      <vt:variant>
        <vt:i4>6029429</vt:i4>
      </vt:variant>
      <vt:variant>
        <vt:i4>57</vt:i4>
      </vt:variant>
      <vt:variant>
        <vt:i4>0</vt:i4>
      </vt:variant>
      <vt:variant>
        <vt:i4>5</vt:i4>
      </vt:variant>
      <vt:variant>
        <vt:lpwstr>javascript:__doPostBack('ctl00$ctl00$SPWebPartManager$g_ec30cf66_c1d4_4956_bf95_28f0423172c8$ctl00$rptDanhMucThuTuc$ctl40$lbThuTucDetail','')</vt:lpwstr>
      </vt:variant>
      <vt:variant>
        <vt:lpwstr/>
      </vt:variant>
      <vt:variant>
        <vt:i4>5963900</vt:i4>
      </vt:variant>
      <vt:variant>
        <vt:i4>54</vt:i4>
      </vt:variant>
      <vt:variant>
        <vt:i4>0</vt:i4>
      </vt:variant>
      <vt:variant>
        <vt:i4>5</vt:i4>
      </vt:variant>
      <vt:variant>
        <vt:lpwstr>javascript:__doPostBack('ctl00$ctl00$SPWebPartManager$g_ec30cf66_c1d4_4956_bf95_28f0423172c8$ctl00$rptDanhMucThuTuc$ctl39$lbThuTucDetail','')</vt:lpwstr>
      </vt:variant>
      <vt:variant>
        <vt:lpwstr/>
      </vt:variant>
      <vt:variant>
        <vt:i4>5963892</vt:i4>
      </vt:variant>
      <vt:variant>
        <vt:i4>51</vt:i4>
      </vt:variant>
      <vt:variant>
        <vt:i4>0</vt:i4>
      </vt:variant>
      <vt:variant>
        <vt:i4>5</vt:i4>
      </vt:variant>
      <vt:variant>
        <vt:lpwstr>javascript:__doPostBack('ctl00$ctl00$SPWebPartManager$g_ec30cf66_c1d4_4956_bf95_28f0423172c8$ctl00$rptDanhMucThuTuc$ctl31$lbThuTucDetail','')</vt:lpwstr>
      </vt:variant>
      <vt:variant>
        <vt:lpwstr/>
      </vt:variant>
      <vt:variant>
        <vt:i4>5963901</vt:i4>
      </vt:variant>
      <vt:variant>
        <vt:i4>48</vt:i4>
      </vt:variant>
      <vt:variant>
        <vt:i4>0</vt:i4>
      </vt:variant>
      <vt:variant>
        <vt:i4>5</vt:i4>
      </vt:variant>
      <vt:variant>
        <vt:lpwstr>javascript:__doPostBack('ctl00$ctl00$SPWebPartManager$g_ec30cf66_c1d4_4956_bf95_28f0423172c8$ctl00$rptDanhMucThuTuc$ctl38$lbThuTucDetail','')</vt:lpwstr>
      </vt:variant>
      <vt:variant>
        <vt:lpwstr/>
      </vt:variant>
      <vt:variant>
        <vt:i4>5963890</vt:i4>
      </vt:variant>
      <vt:variant>
        <vt:i4>45</vt:i4>
      </vt:variant>
      <vt:variant>
        <vt:i4>0</vt:i4>
      </vt:variant>
      <vt:variant>
        <vt:i4>5</vt:i4>
      </vt:variant>
      <vt:variant>
        <vt:lpwstr>javascript:__doPostBack('ctl00$ctl00$SPWebPartManager$g_ec30cf66_c1d4_4956_bf95_28f0423172c8$ctl00$rptDanhMucThuTuc$ctl37$lbThuTucDetail','')</vt:lpwstr>
      </vt:variant>
      <vt:variant>
        <vt:lpwstr/>
      </vt:variant>
      <vt:variant>
        <vt:i4>5963891</vt:i4>
      </vt:variant>
      <vt:variant>
        <vt:i4>42</vt:i4>
      </vt:variant>
      <vt:variant>
        <vt:i4>0</vt:i4>
      </vt:variant>
      <vt:variant>
        <vt:i4>5</vt:i4>
      </vt:variant>
      <vt:variant>
        <vt:lpwstr>javascript:__doPostBack('ctl00$ctl00$SPWebPartManager$g_ec30cf66_c1d4_4956_bf95_28f0423172c8$ctl00$rptDanhMucThuTuc$ctl36$lbThuTucDetail','')</vt:lpwstr>
      </vt:variant>
      <vt:variant>
        <vt:lpwstr/>
      </vt:variant>
      <vt:variant>
        <vt:i4>5963888</vt:i4>
      </vt:variant>
      <vt:variant>
        <vt:i4>39</vt:i4>
      </vt:variant>
      <vt:variant>
        <vt:i4>0</vt:i4>
      </vt:variant>
      <vt:variant>
        <vt:i4>5</vt:i4>
      </vt:variant>
      <vt:variant>
        <vt:lpwstr>javascript:__doPostBack('ctl00$ctl00$SPWebPartManager$g_ec30cf66_c1d4_4956_bf95_28f0423172c8$ctl00$rptDanhMucThuTuc$ctl35$lbThuTucDetail','')</vt:lpwstr>
      </vt:variant>
      <vt:variant>
        <vt:lpwstr/>
      </vt:variant>
      <vt:variant>
        <vt:i4>5963889</vt:i4>
      </vt:variant>
      <vt:variant>
        <vt:i4>36</vt:i4>
      </vt:variant>
      <vt:variant>
        <vt:i4>0</vt:i4>
      </vt:variant>
      <vt:variant>
        <vt:i4>5</vt:i4>
      </vt:variant>
      <vt:variant>
        <vt:lpwstr>javascript:__doPostBack('ctl00$ctl00$SPWebPartManager$g_ec30cf66_c1d4_4956_bf95_28f0423172c8$ctl00$rptDanhMucThuTuc$ctl34$lbThuTucDetail','')</vt:lpwstr>
      </vt:variant>
      <vt:variant>
        <vt:lpwstr/>
      </vt:variant>
      <vt:variant>
        <vt:i4>5963894</vt:i4>
      </vt:variant>
      <vt:variant>
        <vt:i4>33</vt:i4>
      </vt:variant>
      <vt:variant>
        <vt:i4>0</vt:i4>
      </vt:variant>
      <vt:variant>
        <vt:i4>5</vt:i4>
      </vt:variant>
      <vt:variant>
        <vt:lpwstr>javascript:__doPostBack('ctl00$ctl00$SPWebPartManager$g_ec30cf66_c1d4_4956_bf95_28f0423172c8$ctl00$rptDanhMucThuTuc$ctl33$lbThuTucDetail','')</vt:lpwstr>
      </vt:variant>
      <vt:variant>
        <vt:lpwstr/>
      </vt:variant>
      <vt:variant>
        <vt:i4>5963895</vt:i4>
      </vt:variant>
      <vt:variant>
        <vt:i4>30</vt:i4>
      </vt:variant>
      <vt:variant>
        <vt:i4>0</vt:i4>
      </vt:variant>
      <vt:variant>
        <vt:i4>5</vt:i4>
      </vt:variant>
      <vt:variant>
        <vt:lpwstr>javascript:__doPostBack('ctl00$ctl00$SPWebPartManager$g_ec30cf66_c1d4_4956_bf95_28f0423172c8$ctl00$rptDanhMucThuTuc$ctl32$lbThuTucDetail','')</vt:lpwstr>
      </vt:variant>
      <vt:variant>
        <vt:lpwstr/>
      </vt:variant>
      <vt:variant>
        <vt:i4>5963893</vt:i4>
      </vt:variant>
      <vt:variant>
        <vt:i4>27</vt:i4>
      </vt:variant>
      <vt:variant>
        <vt:i4>0</vt:i4>
      </vt:variant>
      <vt:variant>
        <vt:i4>5</vt:i4>
      </vt:variant>
      <vt:variant>
        <vt:lpwstr>javascript:__doPostBack('ctl00$ctl00$SPWebPartManager$g_ec30cf66_c1d4_4956_bf95_28f0423172c8$ctl00$rptDanhMucThuTuc$ctl30$lbThuTucDetail','')</vt:lpwstr>
      </vt:variant>
      <vt:variant>
        <vt:lpwstr/>
      </vt:variant>
      <vt:variant>
        <vt:i4>5832819</vt:i4>
      </vt:variant>
      <vt:variant>
        <vt:i4>24</vt:i4>
      </vt:variant>
      <vt:variant>
        <vt:i4>0</vt:i4>
      </vt:variant>
      <vt:variant>
        <vt:i4>5</vt:i4>
      </vt:variant>
      <vt:variant>
        <vt:lpwstr>javascript:__doPostBack('ctl00$ctl00$SPWebPartManager$g_ec30cf66_c1d4_4956_bf95_28f0423172c8$ctl00$rptDanhMucThuTuc$ctl16$lbThuTucDetail','')</vt:lpwstr>
      </vt:variant>
      <vt:variant>
        <vt:lpwstr/>
      </vt:variant>
      <vt:variant>
        <vt:i4>5832822</vt:i4>
      </vt:variant>
      <vt:variant>
        <vt:i4>21</vt:i4>
      </vt:variant>
      <vt:variant>
        <vt:i4>0</vt:i4>
      </vt:variant>
      <vt:variant>
        <vt:i4>5</vt:i4>
      </vt:variant>
      <vt:variant>
        <vt:lpwstr>javascript:__doPostBack('ctl00$ctl00$SPWebPartManager$g_ec30cf66_c1d4_4956_bf95_28f0423172c8$ctl00$rptDanhMucThuTuc$ctl13$lbThuTucDetail','')</vt:lpwstr>
      </vt:variant>
      <vt:variant>
        <vt:lpwstr/>
      </vt:variant>
      <vt:variant>
        <vt:i4>5898365</vt:i4>
      </vt:variant>
      <vt:variant>
        <vt:i4>18</vt:i4>
      </vt:variant>
      <vt:variant>
        <vt:i4>0</vt:i4>
      </vt:variant>
      <vt:variant>
        <vt:i4>5</vt:i4>
      </vt:variant>
      <vt:variant>
        <vt:lpwstr>javascript:__doPostBack('ctl00$ctl00$SPWebPartManager$g_ec30cf66_c1d4_4956_bf95_28f0423172c8$ctl00$rptDanhMucThuTuc$ctl28$lbThuTucDetail','')</vt:lpwstr>
      </vt:variant>
      <vt:variant>
        <vt:lpwstr/>
      </vt:variant>
      <vt:variant>
        <vt:i4>5898354</vt:i4>
      </vt:variant>
      <vt:variant>
        <vt:i4>15</vt:i4>
      </vt:variant>
      <vt:variant>
        <vt:i4>0</vt:i4>
      </vt:variant>
      <vt:variant>
        <vt:i4>5</vt:i4>
      </vt:variant>
      <vt:variant>
        <vt:lpwstr>javascript:__doPostBack('ctl00$ctl00$SPWebPartManager$g_ec30cf66_c1d4_4956_bf95_28f0423172c8$ctl00$rptDanhMucThuTuc$ctl27$lbThuTucDetail','')</vt:lpwstr>
      </vt:variant>
      <vt:variant>
        <vt:lpwstr/>
      </vt:variant>
      <vt:variant>
        <vt:i4>5898356</vt:i4>
      </vt:variant>
      <vt:variant>
        <vt:i4>12</vt:i4>
      </vt:variant>
      <vt:variant>
        <vt:i4>0</vt:i4>
      </vt:variant>
      <vt:variant>
        <vt:i4>5</vt:i4>
      </vt:variant>
      <vt:variant>
        <vt:lpwstr>javascript:__doPostBack('ctl00$ctl00$SPWebPartManager$g_ec30cf66_c1d4_4956_bf95_28f0423172c8$ctl00$rptDanhMucThuTuc$ctl21$lbThuTucDetail','')</vt:lpwstr>
      </vt:variant>
      <vt:variant>
        <vt:lpwstr/>
      </vt:variant>
      <vt:variant>
        <vt:i4>5832820</vt:i4>
      </vt:variant>
      <vt:variant>
        <vt:i4>9</vt:i4>
      </vt:variant>
      <vt:variant>
        <vt:i4>0</vt:i4>
      </vt:variant>
      <vt:variant>
        <vt:i4>5</vt:i4>
      </vt:variant>
      <vt:variant>
        <vt:lpwstr>javascript:__doPostBack('ctl00$ctl00$SPWebPartManager$g_ec30cf66_c1d4_4956_bf95_28f0423172c8$ctl00$rptDanhMucThuTuc$ctl11$lbThuTucDetail','')</vt:lpwstr>
      </vt:variant>
      <vt:variant>
        <vt:lpwstr/>
      </vt:variant>
      <vt:variant>
        <vt:i4>5767293</vt:i4>
      </vt:variant>
      <vt:variant>
        <vt:i4>6</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3</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5767292</vt:i4>
      </vt:variant>
      <vt:variant>
        <vt:i4>0</vt:i4>
      </vt:variant>
      <vt:variant>
        <vt:i4>0</vt:i4>
      </vt:variant>
      <vt:variant>
        <vt:i4>5</vt:i4>
      </vt:variant>
      <vt:variant>
        <vt:lpwstr>javascript:__doPostBack('ctl00$ctl00$SPWebPartManager$g_ec30cf66_c1d4_4956_bf95_28f0423172c8$ctl00$rptDanhMucThuTuc$ctl09$lbThuTucDetail','')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TungHacker</dc:creator>
  <cp:lastModifiedBy>use</cp:lastModifiedBy>
  <cp:revision>2</cp:revision>
  <cp:lastPrinted>2020-06-22T09:18:00Z</cp:lastPrinted>
  <dcterms:created xsi:type="dcterms:W3CDTF">2023-07-26T01:08:00Z</dcterms:created>
  <dcterms:modified xsi:type="dcterms:W3CDTF">2023-07-26T01:08:00Z</dcterms:modified>
</cp:coreProperties>
</file>