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00" w:type="dxa"/>
        <w:jc w:val="center"/>
        <w:tblLook w:val="01E0" w:firstRow="1" w:lastRow="1" w:firstColumn="1" w:lastColumn="1" w:noHBand="0" w:noVBand="0"/>
      </w:tblPr>
      <w:tblGrid>
        <w:gridCol w:w="3767"/>
        <w:gridCol w:w="6033"/>
      </w:tblGrid>
      <w:tr>
        <w:trPr>
          <w:jc w:val="center"/>
        </w:trPr>
        <w:tc>
          <w:tcPr>
            <w:tcW w:w="3767" w:type="dxa"/>
          </w:tcPr>
          <w:p>
            <w:pPr>
              <w:spacing w:after="0" w:line="240" w:lineRule="auto"/>
              <w:jc w:val="center"/>
              <w:rPr>
                <w:b/>
                <w:szCs w:val="28"/>
              </w:rPr>
            </w:pPr>
            <w:r>
              <w:rPr>
                <w:b/>
                <w:szCs w:val="28"/>
              </w:rPr>
              <w:t>ĐẠI HỘI</w:t>
            </w:r>
          </w:p>
          <w:p>
            <w:pPr>
              <w:spacing w:after="0" w:line="240" w:lineRule="auto"/>
              <w:jc w:val="center"/>
              <w:rPr>
                <w:b/>
                <w:szCs w:val="28"/>
              </w:rPr>
            </w:pPr>
            <w:r>
              <w:rPr>
                <w:b/>
                <w:szCs w:val="28"/>
              </w:rPr>
              <w:t xml:space="preserve">CÔNG ĐOÀN CƠ SỞ </w:t>
            </w:r>
            <w:r>
              <w:rPr>
                <w:b/>
                <w:szCs w:val="28"/>
                <w:lang w:val="vi-VN"/>
              </w:rPr>
              <w:t>SỞ NGOẠI VỤ</w:t>
            </w:r>
            <w:r>
              <w:rPr>
                <w:b/>
                <w:szCs w:val="28"/>
              </w:rPr>
              <w:t xml:space="preserve"> TỈNH HÀ TĨNH</w:t>
            </w:r>
          </w:p>
          <w:p>
            <w:pPr>
              <w:spacing w:after="0" w:line="240" w:lineRule="auto"/>
              <w:jc w:val="center"/>
              <w:rPr>
                <w:b/>
                <w:szCs w:val="28"/>
              </w:rPr>
            </w:pPr>
            <w:r>
              <w:rPr>
                <w:b/>
                <w:szCs w:val="28"/>
              </w:rPr>
              <w:t>NHIỆM KỲ 2023 - 2028</w:t>
            </w:r>
          </w:p>
          <w:p>
            <w:pPr>
              <w:spacing w:after="0" w:line="240" w:lineRule="auto"/>
              <w:jc w:val="center"/>
              <w:rPr>
                <w:b/>
                <w:szCs w:val="28"/>
              </w:rPr>
            </w:pPr>
            <w:r>
              <w:rPr>
                <w:b/>
                <w:noProof/>
                <w:szCs w:val="28"/>
                <w:lang w:val="vi-VN" w:eastAsia="vi-VN"/>
              </w:rPr>
              <mc:AlternateContent>
                <mc:Choice Requires="wps">
                  <w:drawing>
                    <wp:anchor distT="0" distB="0" distL="114300" distR="114300" simplePos="0" relativeHeight="251659264" behindDoc="0" locked="0" layoutInCell="1" allowOverlap="1">
                      <wp:simplePos x="0" y="0"/>
                      <wp:positionH relativeFrom="column">
                        <wp:posOffset>828040</wp:posOffset>
                      </wp:positionH>
                      <wp:positionV relativeFrom="paragraph">
                        <wp:posOffset>29845</wp:posOffset>
                      </wp:positionV>
                      <wp:extent cx="9239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923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2pt,2.35pt" to="13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" strokecolor="black [3040]"/>
                  </w:pict>
                </mc:Fallback>
              </mc:AlternateContent>
            </w:r>
          </w:p>
        </w:tc>
        <w:tc>
          <w:tcPr>
            <w:tcW w:w="6033" w:type="dxa"/>
          </w:tcPr>
          <w:p>
            <w:pPr>
              <w:spacing w:after="0" w:line="240" w:lineRule="auto"/>
              <w:jc w:val="both"/>
              <w:rPr>
                <w:b/>
                <w:sz w:val="26"/>
                <w:szCs w:val="26"/>
                <w:u w:val="single"/>
              </w:rPr>
            </w:pPr>
            <w:r>
              <w:rPr>
                <w:b/>
                <w:sz w:val="26"/>
                <w:szCs w:val="26"/>
              </w:rPr>
              <w:t>CỘNG HÒA XÃ HỘI CHỦ NGHĨA VIỆT NAM</w:t>
            </w:r>
          </w:p>
          <w:p>
            <w:pPr>
              <w:spacing w:after="0" w:line="240" w:lineRule="auto"/>
              <w:jc w:val="center"/>
              <w:rPr>
                <w:b/>
                <w:szCs w:val="28"/>
              </w:rPr>
            </w:pPr>
            <w:r>
              <w:rPr>
                <w:b/>
                <w:szCs w:val="28"/>
              </w:rPr>
              <w:t xml:space="preserve">Độc lập - Tự do - Hạnh phúc </w:t>
            </w:r>
          </w:p>
          <w:p>
            <w:pPr>
              <w:spacing w:after="0" w:line="240" w:lineRule="auto"/>
              <w:jc w:val="center"/>
              <w:rPr>
                <w:i/>
                <w:szCs w:val="28"/>
              </w:rPr>
            </w:pPr>
            <w:r>
              <w:rPr>
                <w:b/>
                <w:bCs/>
                <w:noProof/>
                <w:lang w:val="vi-VN" w:eastAsia="vi-VN"/>
              </w:rPr>
              <mc:AlternateContent>
                <mc:Choice Requires="wps">
                  <w:drawing>
                    <wp:anchor distT="0" distB="0" distL="114300" distR="114300" simplePos="0" relativeHeight="251658240" behindDoc="0" locked="0" layoutInCell="1" allowOverlap="1">
                      <wp:simplePos x="0" y="0"/>
                      <wp:positionH relativeFrom="column">
                        <wp:posOffset>804545</wp:posOffset>
                      </wp:positionH>
                      <wp:positionV relativeFrom="paragraph">
                        <wp:posOffset>52070</wp:posOffset>
                      </wp:positionV>
                      <wp:extent cx="2146300" cy="0"/>
                      <wp:effectExtent l="0" t="0" r="2540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3.35pt;margin-top:4.1pt;width:16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h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"/>
                  </w:pict>
                </mc:Fallback>
              </mc:AlternateContent>
            </w:r>
          </w:p>
        </w:tc>
      </w:tr>
    </w:tbl>
    <w:p>
      <w:pPr>
        <w:spacing w:after="0" w:line="240" w:lineRule="auto"/>
        <w:jc w:val="center"/>
      </w:pPr>
    </w:p>
    <w:p>
      <w:pPr>
        <w:shd w:val="clear" w:color="auto" w:fill="FFFFFF"/>
        <w:spacing w:after="0" w:line="240" w:lineRule="auto"/>
        <w:jc w:val="center"/>
        <w:rPr>
          <w:b/>
          <w:bCs/>
          <w:szCs w:val="28"/>
        </w:rPr>
      </w:pPr>
      <w:r>
        <w:rPr>
          <w:b/>
          <w:bCs/>
          <w:szCs w:val="28"/>
        </w:rPr>
        <w:t>BÁO CÁO</w:t>
      </w:r>
    </w:p>
    <w:p>
      <w:pPr>
        <w:shd w:val="clear" w:color="auto" w:fill="FFFFFF"/>
        <w:spacing w:after="0" w:line="240" w:lineRule="auto"/>
        <w:jc w:val="center"/>
        <w:rPr>
          <w:b/>
          <w:bCs/>
          <w:szCs w:val="28"/>
        </w:rPr>
      </w:pPr>
      <w:r>
        <w:rPr>
          <w:b/>
          <w:bCs/>
          <w:szCs w:val="28"/>
          <w:lang w:val="vi-VN"/>
        </w:rPr>
        <w:t>K</w:t>
      </w:r>
      <w:r>
        <w:rPr>
          <w:b/>
          <w:bCs/>
          <w:szCs w:val="28"/>
        </w:rPr>
        <w:t xml:space="preserve">iểm điểm của Ban Chấp hành Công đoàn nhiệm kỳ 2017 - 2022 </w:t>
      </w:r>
    </w:p>
    <w:p>
      <w:pPr>
        <w:shd w:val="clear" w:color="auto" w:fill="FFFFFF"/>
        <w:spacing w:after="0" w:line="240" w:lineRule="auto"/>
        <w:jc w:val="center"/>
        <w:rPr>
          <w:b/>
          <w:bCs/>
          <w:szCs w:val="28"/>
        </w:rPr>
      </w:pPr>
      <w:r>
        <w:rPr>
          <w:b/>
          <w:bCs/>
          <w:szCs w:val="28"/>
        </w:rPr>
        <w:t>tại Đại hội Công đoàn nhiệm kỳ 2023 - 2028</w:t>
      </w:r>
    </w:p>
    <w:p>
      <w:pPr>
        <w:shd w:val="clear" w:color="auto" w:fill="FFFFFF"/>
        <w:spacing w:before="120" w:after="120" w:line="240" w:lineRule="auto"/>
        <w:jc w:val="center"/>
        <w:rPr>
          <w:szCs w:val="28"/>
        </w:rPr>
      </w:pPr>
      <w:r>
        <w:rPr>
          <w:noProof/>
          <w:szCs w:val="28"/>
          <w:lang w:val="vi-VN" w:eastAsia="vi-VN"/>
        </w:rPr>
        <mc:AlternateContent>
          <mc:Choice Requires="wps">
            <w:drawing>
              <wp:anchor distT="0" distB="0" distL="114300" distR="114300" simplePos="0" relativeHeight="251660288" behindDoc="0" locked="0" layoutInCell="1" allowOverlap="1">
                <wp:simplePos x="0" y="0"/>
                <wp:positionH relativeFrom="column">
                  <wp:posOffset>1748789</wp:posOffset>
                </wp:positionH>
                <wp:positionV relativeFrom="paragraph">
                  <wp:posOffset>55880</wp:posOffset>
                </wp:positionV>
                <wp:extent cx="24288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2428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7.7pt,4.4pt" to="328.9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" strokecolor="black [3040]"/>
            </w:pict>
          </mc:Fallback>
        </mc:AlternateContent>
      </w:r>
    </w:p>
    <w:p>
      <w:pPr>
        <w:spacing w:after="0" w:line="240" w:lineRule="auto"/>
        <w:jc w:val="both"/>
        <w:rPr>
          <w:szCs w:val="28"/>
        </w:rPr>
      </w:pPr>
      <w:r>
        <w:rPr>
          <w:szCs w:val="28"/>
        </w:rPr>
        <w:tab/>
        <w:t xml:space="preserve">Trên cơ sở kết quả hoạt động của Công đoàn nhiệm kỳ 2017 - 2022, </w:t>
      </w:r>
      <w:r>
        <w:rPr>
          <w:bCs/>
          <w:szCs w:val="28"/>
        </w:rPr>
        <w:t xml:space="preserve">Ban Chấp hành Công đoàn </w:t>
      </w:r>
      <w:r>
        <w:rPr>
          <w:bCs/>
          <w:szCs w:val="28"/>
          <w:lang w:val="vi-VN"/>
        </w:rPr>
        <w:t>Sở Ngoại vụ</w:t>
      </w:r>
      <w:r>
        <w:rPr>
          <w:bCs/>
          <w:szCs w:val="28"/>
        </w:rPr>
        <w:t xml:space="preserve"> nhiệm kỳ 2017 </w:t>
      </w:r>
      <w:r>
        <w:rPr>
          <w:bCs/>
          <w:szCs w:val="28"/>
          <w:lang w:val="vi-VN"/>
        </w:rPr>
        <w:t>-</w:t>
      </w:r>
      <w:r>
        <w:rPr>
          <w:bCs/>
          <w:szCs w:val="28"/>
        </w:rPr>
        <w:t xml:space="preserve"> 2022 </w:t>
      </w:r>
      <w:r>
        <w:rPr>
          <w:szCs w:val="28"/>
        </w:rPr>
        <w:t>báo cáo kiểm điểm trách nhiệm chỉ đạo, điều hành việc triển khai thực hiện Nghị quyết của Đại hội Công đoàn trong nhiệm kỳ 2017 - 2022 như sau:</w:t>
      </w:r>
    </w:p>
    <w:p>
      <w:pPr>
        <w:spacing w:after="0" w:line="240" w:lineRule="auto"/>
        <w:jc w:val="both"/>
        <w:rPr>
          <w:b/>
          <w:szCs w:val="28"/>
        </w:rPr>
      </w:pPr>
      <w:r>
        <w:rPr>
          <w:szCs w:val="28"/>
        </w:rPr>
        <w:tab/>
      </w:r>
      <w:r>
        <w:rPr>
          <w:b/>
          <w:szCs w:val="28"/>
        </w:rPr>
        <w:t>I. VỀ NHÂN SỰ BAN CHẤP HÀNH</w:t>
      </w:r>
    </w:p>
    <w:p>
      <w:pPr>
        <w:spacing w:after="0" w:line="240" w:lineRule="auto"/>
        <w:ind w:firstLine="720"/>
        <w:jc w:val="both"/>
        <w:rPr>
          <w:szCs w:val="28"/>
        </w:rPr>
      </w:pPr>
      <w:r>
        <w:rPr>
          <w:szCs w:val="28"/>
        </w:rPr>
        <w:t xml:space="preserve">Đại hội </w:t>
      </w:r>
      <w:r>
        <w:rPr>
          <w:bCs/>
          <w:szCs w:val="28"/>
        </w:rPr>
        <w:t xml:space="preserve">Công đoàn </w:t>
      </w:r>
      <w:r>
        <w:rPr>
          <w:bCs/>
          <w:szCs w:val="28"/>
          <w:lang w:val="vi-VN"/>
        </w:rPr>
        <w:t>Sở Ngoại vụ</w:t>
      </w:r>
      <w:r>
        <w:rPr>
          <w:bCs/>
          <w:szCs w:val="28"/>
        </w:rPr>
        <w:t xml:space="preserve"> </w:t>
      </w:r>
      <w:r>
        <w:rPr>
          <w:szCs w:val="28"/>
        </w:rPr>
        <w:t xml:space="preserve">nhiệm kỳ 2017 </w:t>
      </w:r>
      <w:r>
        <w:rPr>
          <w:szCs w:val="28"/>
          <w:lang w:val="vi-VN"/>
        </w:rPr>
        <w:t>-</w:t>
      </w:r>
      <w:r>
        <w:rPr>
          <w:szCs w:val="28"/>
        </w:rPr>
        <w:t xml:space="preserve"> 2022 đã bầu Ban Chấp hành Công đoàn gồm có </w:t>
      </w:r>
      <w:r>
        <w:rPr>
          <w:szCs w:val="28"/>
          <w:lang w:val="vi-VN"/>
        </w:rPr>
        <w:t>03</w:t>
      </w:r>
      <w:r>
        <w:rPr>
          <w:szCs w:val="28"/>
        </w:rPr>
        <w:t xml:space="preserve"> đồng chí</w:t>
      </w:r>
      <w:r>
        <w:rPr>
          <w:szCs w:val="28"/>
          <w:lang w:val="vi-VN"/>
        </w:rPr>
        <w:t xml:space="preserve"> gồm Chủ tịch, Phó Chủ tịch và Ủy viên Ban Chấp hành Công đoàn</w:t>
      </w:r>
      <w:r>
        <w:rPr>
          <w:szCs w:val="28"/>
        </w:rPr>
        <w:t>.</w:t>
      </w:r>
    </w:p>
    <w:p>
      <w:pPr>
        <w:spacing w:after="0" w:line="240" w:lineRule="auto"/>
        <w:ind w:firstLine="720"/>
        <w:jc w:val="both"/>
        <w:rPr>
          <w:szCs w:val="28"/>
          <w:lang w:val="vi-VN"/>
        </w:rPr>
      </w:pPr>
      <w:r>
        <w:rPr>
          <w:szCs w:val="28"/>
          <w:lang w:val="vi-VN"/>
        </w:rPr>
        <w:t xml:space="preserve">Trong nhiệm kỳ qua, tập thể Ban Chấp hành </w:t>
      </w:r>
      <w:r>
        <w:rPr>
          <w:bCs/>
          <w:szCs w:val="28"/>
          <w:lang w:val="vi-VN"/>
        </w:rPr>
        <w:t xml:space="preserve">Công đoàn Sở Ngoại vụ </w:t>
      </w:r>
      <w:r>
        <w:rPr>
          <w:szCs w:val="28"/>
          <w:lang w:val="vi-VN"/>
        </w:rPr>
        <w:t>đoàn kết, cố gắng, nỗ lực phấn đấu hoàn thành tốt nhiệm vụ, thực hiện đúng Nghị quyết của Đại hội Công đoàn đề ra, đặc biệt là triển khai thực hiện các chỉ tiêu Nghị quyết đã đề ra trong nhiệm kỳ, hoàn thành xuất sắc nhiệm vụ công đoàn, xây dựng tổ chức Công đoàn cơ quan ngày càng vững mạnh.</w:t>
      </w:r>
    </w:p>
    <w:p>
      <w:pPr>
        <w:spacing w:after="0" w:line="240" w:lineRule="auto"/>
        <w:ind w:firstLine="720"/>
        <w:jc w:val="both"/>
        <w:rPr>
          <w:b/>
          <w:szCs w:val="28"/>
          <w:lang w:val="vi-VN"/>
        </w:rPr>
      </w:pPr>
      <w:r>
        <w:rPr>
          <w:b/>
          <w:szCs w:val="28"/>
          <w:lang w:val="vi-VN"/>
        </w:rPr>
        <w:t>II. KẾT QUẢ CÔNG TÁC CHỈ ĐẠO, ĐIỀU HÀNH</w:t>
      </w:r>
    </w:p>
    <w:p>
      <w:pPr>
        <w:spacing w:after="0" w:line="240" w:lineRule="auto"/>
        <w:ind w:firstLine="720"/>
        <w:jc w:val="both"/>
        <w:rPr>
          <w:szCs w:val="28"/>
          <w:lang w:val="vi-VN"/>
        </w:rPr>
      </w:pPr>
      <w:r>
        <w:rPr>
          <w:szCs w:val="28"/>
          <w:lang w:val="vi-VN"/>
        </w:rPr>
        <w:t xml:space="preserve">Thực hiện nhiệm vụ do Đại hội Công đoàn giao, trong nhiệm kỳ 2017 – 2022, Ban Chấp hành Công đoàn cơ sở Sở Ngoại vụ đã điều hành, chỉ đạo thực hiện hoàn thành cơ bản các nhiệm vụ, chỉ tiêu Nghị quyết Đại hội </w:t>
      </w:r>
      <w:r>
        <w:rPr>
          <w:bCs/>
          <w:szCs w:val="28"/>
          <w:lang w:val="vi-VN"/>
        </w:rPr>
        <w:t>Công đoàn Sở Ngoại vụ</w:t>
      </w:r>
      <w:r>
        <w:rPr>
          <w:szCs w:val="28"/>
          <w:lang w:val="vi-VN"/>
        </w:rPr>
        <w:t xml:space="preserve"> nhiệm kỳ2 017 - 2022 đã đề ra </w:t>
      </w:r>
      <w:r>
        <w:rPr>
          <w:i/>
          <w:szCs w:val="28"/>
          <w:lang w:val="vi-VN"/>
        </w:rPr>
        <w:t xml:space="preserve">(kết quả cụ thể trong Báo cáo hoạt động Công đoàn nhiệm kỳ </w:t>
      </w:r>
      <w:r>
        <w:rPr>
          <w:szCs w:val="28"/>
          <w:lang w:val="vi-VN"/>
        </w:rPr>
        <w:t xml:space="preserve">2017 - 2022 </w:t>
      </w:r>
      <w:r>
        <w:rPr>
          <w:i/>
          <w:szCs w:val="28"/>
          <w:lang w:val="vi-VN"/>
        </w:rPr>
        <w:t>đã trình  Đại hội),</w:t>
      </w:r>
      <w:r>
        <w:rPr>
          <w:szCs w:val="28"/>
          <w:lang w:val="vi-VN"/>
        </w:rPr>
        <w:t xml:space="preserve"> thể hiện một số công việc như sau:</w:t>
      </w:r>
    </w:p>
    <w:p>
      <w:pPr>
        <w:spacing w:after="0" w:line="240" w:lineRule="auto"/>
        <w:ind w:firstLine="720"/>
        <w:jc w:val="both"/>
        <w:rPr>
          <w:b/>
          <w:szCs w:val="28"/>
          <w:lang w:val="vi-VN"/>
        </w:rPr>
      </w:pPr>
      <w:r>
        <w:rPr>
          <w:b/>
          <w:szCs w:val="28"/>
          <w:lang w:val="vi-VN"/>
        </w:rPr>
        <w:t>1. Về công tác chỉ đạo và điều hành thực hiện Nghị quyết Đại hội Công đoàn</w:t>
      </w:r>
    </w:p>
    <w:p>
      <w:pPr>
        <w:spacing w:after="0" w:line="240" w:lineRule="auto"/>
        <w:ind w:firstLine="720"/>
        <w:jc w:val="both"/>
        <w:rPr>
          <w:szCs w:val="28"/>
          <w:lang w:val="vi-VN"/>
        </w:rPr>
      </w:pPr>
      <w:r>
        <w:rPr>
          <w:szCs w:val="28"/>
          <w:lang w:val="vi-VN"/>
        </w:rPr>
        <w:t>- Ban Chấp hành Công đoàn đã quán triệt, vận dụng các chủ trương, đường lối, chỉ thị, nghị quyết của Đảng, pháp luật của Nhà nước, Nghị quyết đại hội Công đoàn cấp trên, Nghị quyết Đại hội Chi bộ Sở Ngoại vụ nhiệm kỳ 2015 - 2020; 2020 - 2025 vào việc xây dựng kế hoạch, chương trình công tác nhằm chỉ đạo hoàn thành xuất sắc các chỉ tiêu, nhiệm vụ mà Nghị quyết Đại hội Công đoàn có sở Ngoại vụ đã đề ra.</w:t>
      </w:r>
    </w:p>
    <w:p>
      <w:pPr>
        <w:spacing w:after="0" w:line="240" w:lineRule="auto"/>
        <w:ind w:firstLine="720"/>
        <w:jc w:val="both"/>
        <w:rPr>
          <w:szCs w:val="28"/>
          <w:lang w:val="vi-VN"/>
        </w:rPr>
      </w:pPr>
      <w:r>
        <w:rPr>
          <w:szCs w:val="28"/>
          <w:lang w:val="vi-VN"/>
        </w:rPr>
        <w:t>- Trong quá trình tổ chức chỉ đạo thực hiện, Ban Chấp hành Công đoàn luôn bám sát phương châm “Lấy cán bộ, công chức làm đối tượng vận động, lấy chăm lo bảo vệ quyền, lợi ích hợp pháp, chính đáng của đoàn viên, xây dựng quan hệ lao động hài hòa, ổn định, tiến bộ”. Coi trọng các giải pháp nâng cao chất lượng và hiệu quả hoạt động của Công đoàn.</w:t>
      </w:r>
    </w:p>
    <w:p>
      <w:pPr>
        <w:spacing w:after="0" w:line="240" w:lineRule="auto"/>
        <w:ind w:firstLine="720"/>
        <w:jc w:val="both"/>
        <w:rPr>
          <w:b/>
          <w:szCs w:val="28"/>
          <w:lang w:val="vi-VN"/>
        </w:rPr>
      </w:pPr>
      <w:r>
        <w:rPr>
          <w:b/>
          <w:szCs w:val="28"/>
          <w:lang w:val="vi-VN"/>
        </w:rPr>
        <w:lastRenderedPageBreak/>
        <w:t>2. Về trách nhiệm thực hiện Quy chế Ban Chấp hành và Quy chế phối hợp công tác với lãnh đạo cơ quan</w:t>
      </w:r>
    </w:p>
    <w:p>
      <w:pPr>
        <w:spacing w:after="0" w:line="240" w:lineRule="auto"/>
        <w:ind w:firstLine="720"/>
        <w:jc w:val="both"/>
        <w:rPr>
          <w:szCs w:val="28"/>
          <w:lang w:val="vi-VN"/>
        </w:rPr>
      </w:pPr>
      <w:r>
        <w:rPr>
          <w:szCs w:val="28"/>
          <w:lang w:val="vi-VN"/>
        </w:rPr>
        <w:t>Ngay từ đầu nhiệm kỳ, Ban Chấp hành đã xây dựng và thực hiện quy chế hoạt động của Ban Chấp hành; tham gia thực hiện ký kết Quy chế phối hợp công tác với Thủ trưởng cơ quan chuyên môn.</w:t>
      </w:r>
    </w:p>
    <w:p>
      <w:pPr>
        <w:spacing w:after="0" w:line="240" w:lineRule="auto"/>
        <w:ind w:firstLine="720"/>
        <w:jc w:val="both"/>
        <w:rPr>
          <w:szCs w:val="28"/>
          <w:lang w:val="vi-VN"/>
        </w:rPr>
      </w:pPr>
      <w:r>
        <w:rPr>
          <w:szCs w:val="28"/>
          <w:lang w:val="vi-VN"/>
        </w:rPr>
        <w:t>- Hoạt động của Ban Chấp hành được tiến hành theo quy định trong Quy chế hoạt động. Các kỳ sinh hoạt của Ban Chấp hành được triệu tập đúng định kỳ, các thành viên Ban Chấp hành tham gia sinh hoạt mỗi kỳ đều đảm bảo 100%. Trong các cuộc họp, Ban Chấp hành đều tuân thủ nguyên tắc tập trung dân chủ, thẳng thắn và trách nhiệm cao; khi có những ý kiến khác nhau, các Ủy viên Ban Chấp hành đã thảo luận để đi đến thống nhất chủ trương trong Ban Chấp hành.</w:t>
      </w:r>
    </w:p>
    <w:p>
      <w:pPr>
        <w:spacing w:after="0" w:line="240" w:lineRule="auto"/>
        <w:ind w:firstLine="720"/>
        <w:jc w:val="both"/>
        <w:rPr>
          <w:szCs w:val="28"/>
          <w:lang w:val="vi-VN"/>
        </w:rPr>
      </w:pPr>
      <w:r>
        <w:rPr>
          <w:szCs w:val="28"/>
          <w:lang w:val="vi-VN"/>
        </w:rPr>
        <w:t>- Ban Chấp hành Công đoàn luôn chủ động và tích cực thực hiện Quy chế phối hợp công tác hoạt động giữa Công đoàn với Thủ trưởng cơ quan chuyên môn. Hai bên đã tổ chức các cuộc hội ý, họp để đánh giá kết quả việc thực hiện những nội dung đề ra trong Quy chế, trao đổi những khó khăn, vướng mắc trong thực tiễn để có biện pháp phối hợp tốt hơn, nhất là công tác chỉ đạo thực hiện Quy chế dân chủ tại cơ quan, đơn vị; các giải pháp nhằm thực hiện pháp luật về lao động có liên quan đến quyền và lợi ích hợp pháp, chính đáng của cán bộ, công chức.</w:t>
      </w:r>
    </w:p>
    <w:p>
      <w:pPr>
        <w:shd w:val="clear" w:color="auto" w:fill="FFFFFF"/>
        <w:spacing w:after="0" w:line="240" w:lineRule="auto"/>
        <w:ind w:firstLine="567"/>
        <w:jc w:val="both"/>
        <w:rPr>
          <w:szCs w:val="28"/>
          <w:lang w:val="vi-VN"/>
        </w:rPr>
      </w:pPr>
      <w:r>
        <w:rPr>
          <w:szCs w:val="28"/>
          <w:lang w:val="vi-VN"/>
        </w:rPr>
        <w:t>- Ban Chấp hành đã phối hợp với chuyên môn chăm lo, bảo vệ quyền và lợi ích hợp pháp chính đáng của đoàn viên như: xét nâng lương định kỳ, nâng lương trước thời hạn, chế độ nghỉ phép, các hoạt động hỗ trợ cho đoàn viên…đảm bảo chế độ cho cán bộ đoàn viên. Tổ chức thăm hỏi, động viên những đoàn viên ốm đau, hoạn nạn, hiếu hỉ về tinh thần cũng như vật chất theo chế độ quy định.</w:t>
      </w:r>
    </w:p>
    <w:p>
      <w:pPr>
        <w:shd w:val="clear" w:color="auto" w:fill="FFFFFF"/>
        <w:spacing w:after="0" w:line="240" w:lineRule="auto"/>
        <w:ind w:firstLine="567"/>
        <w:jc w:val="both"/>
        <w:rPr>
          <w:szCs w:val="28"/>
          <w:lang w:val="vi-VN"/>
        </w:rPr>
      </w:pPr>
      <w:r>
        <w:rPr>
          <w:szCs w:val="28"/>
          <w:lang w:val="vi-VN"/>
        </w:rPr>
        <w:t>- Phối hợp tổ chức Đoàn triển khai kịp thời các hoạt động chào mừng các ngày lễ hàng năm: tổ chức văn nghệ, thể dục thể thao, các hoạt động đền ơn đáp nghĩa; tổ chức các hoạt động tham quan, giao lưu, gặp mặt gia đình cán bộ, công chức cơ quan.</w:t>
      </w:r>
    </w:p>
    <w:p>
      <w:pPr>
        <w:spacing w:after="0" w:line="240" w:lineRule="auto"/>
        <w:jc w:val="both"/>
        <w:rPr>
          <w:lang w:val="vi-VN"/>
        </w:rPr>
      </w:pPr>
      <w:r>
        <w:rPr>
          <w:lang w:val="vi-VN"/>
        </w:rPr>
        <w:tab/>
        <w:t xml:space="preserve">Nhìn chung, Ban chấp hành Công đoàn cơ sở Sở Ngoại vụ đã hoàn thành tốt nhiệm vụ mà Đại hội IV nhiệm kỳ 2017-2022 đề ra. Động viên đoàn cán bộ, đoàn viên tích cực tham gia các hoạt động và phong trào công đoàn. Đẩy mạnh thực hiện nhiệm vụ chính trị của cơ quan và thực hiện kịp thời có hiệu quả các nhiệm vụ, kế hoạch hàng năm của công đoàn cấp trên triển khai, chỉ đạo. </w:t>
      </w:r>
    </w:p>
    <w:p>
      <w:pPr>
        <w:spacing w:after="0" w:line="240" w:lineRule="auto"/>
        <w:ind w:firstLine="720"/>
        <w:jc w:val="both"/>
        <w:rPr>
          <w:b/>
          <w:lang w:val="vi-VN"/>
        </w:rPr>
      </w:pPr>
      <w:r>
        <w:rPr>
          <w:b/>
          <w:lang w:val="vi-VN"/>
        </w:rPr>
        <w:t xml:space="preserve">3. Lề lối làm việc, phương pháp lãnh đạo, chỉ đạo điều hành của BCH Công đoàn </w:t>
      </w:r>
    </w:p>
    <w:p>
      <w:pPr>
        <w:spacing w:after="0" w:line="240" w:lineRule="auto"/>
        <w:jc w:val="both"/>
        <w:rPr>
          <w:lang w:val="vi-VN"/>
        </w:rPr>
      </w:pPr>
      <w:r>
        <w:rPr>
          <w:lang w:val="vi-VN"/>
        </w:rPr>
        <w:tab/>
        <w:t>Trong hoạt động, Ban chấp hành đã thực hiện nghiêm túc nguyên tắc tập thể lãnh đạo, dân chủ bàn bạc, cá nhân phụ trách và chịu trách nhiệm về phần việc  được phân công. Chất lượng, hiệu quả hoạt động công đoàn luôn được đặt lên hàng đầu.</w:t>
      </w:r>
    </w:p>
    <w:p>
      <w:pPr>
        <w:spacing w:after="0" w:line="240" w:lineRule="auto"/>
        <w:jc w:val="both"/>
        <w:rPr>
          <w:szCs w:val="28"/>
          <w:lang w:val="vi-VN"/>
        </w:rPr>
      </w:pPr>
      <w:r>
        <w:rPr>
          <w:lang w:val="vi-VN"/>
        </w:rPr>
        <w:tab/>
        <w:t xml:space="preserve">Ban chấp hành đã duy trì chế độ sinh hoạt định kỳ theo đúng quy định của Điều lệ Công đoàn, làm việc theo quy chế, theo chương trình công tác. Thực hiện nghiêm túc chế độ sơ kết, tổng kết và công tác thi đua khen thưởng trong hoạt động công đoàn </w:t>
      </w:r>
      <w:r>
        <w:rPr>
          <w:szCs w:val="28"/>
          <w:lang w:val="vi-VN"/>
        </w:rPr>
        <w:t>đúng quy định, bảo đảm chế độ thông tin báo cáo và thực hiện tốt các tiêu chuẩn xây dựng Công đoàn cơ sở vững mạnh.</w:t>
      </w:r>
    </w:p>
    <w:p>
      <w:pPr>
        <w:spacing w:after="0" w:line="240" w:lineRule="auto"/>
        <w:ind w:firstLine="720"/>
        <w:jc w:val="both"/>
        <w:rPr>
          <w:b/>
          <w:lang w:val="vi-VN"/>
        </w:rPr>
      </w:pPr>
    </w:p>
    <w:p>
      <w:pPr>
        <w:spacing w:after="0" w:line="240" w:lineRule="auto"/>
        <w:ind w:firstLine="720"/>
        <w:jc w:val="both"/>
        <w:rPr>
          <w:b/>
          <w:lang w:val="vi-VN"/>
        </w:rPr>
      </w:pPr>
      <w:bookmarkStart w:id="0" w:name="_GoBack"/>
      <w:bookmarkEnd w:id="0"/>
      <w:r>
        <w:rPr>
          <w:b/>
          <w:lang w:val="vi-VN"/>
        </w:rPr>
        <w:lastRenderedPageBreak/>
        <w:t>4. Về phẩm chất chính trị, đạo đức lối sống</w:t>
      </w:r>
    </w:p>
    <w:p>
      <w:pPr>
        <w:spacing w:after="0" w:line="240" w:lineRule="auto"/>
        <w:jc w:val="both"/>
        <w:rPr>
          <w:lang w:val="vi-VN"/>
        </w:rPr>
      </w:pPr>
      <w:r>
        <w:rPr>
          <w:lang w:val="vi-VN"/>
        </w:rPr>
        <w:tab/>
        <w:t>Ban chấp hành Công đoàn là một tập thể đoàn kết, thống nhất, có ý thức trách nhiệm cao và nhiệt tình tâm huyết với công tác công đoàn. Có lối sống giản dị, tác phong gần gũi với quần chúng, có phẩm chất đạo đức tốt, bản lĩnh chính trị vững vàng, lấy chức năng hoạt động vì quyền lợi ích hợp pháp chính đáng của đoàn viên, và xây dựng tổ chức công đoàn vững mạnh là nhiệm vụ trọng tâm, mục tiêu phấn đấu, luôn được Công đoàn cấp trên đánh giá hoàn thành tốt nhiệm vụ.</w:t>
      </w:r>
    </w:p>
    <w:p>
      <w:pPr>
        <w:shd w:val="clear" w:color="auto" w:fill="FFFFFF"/>
        <w:spacing w:after="0" w:line="240" w:lineRule="auto"/>
        <w:jc w:val="both"/>
        <w:rPr>
          <w:b/>
          <w:szCs w:val="28"/>
          <w:lang w:val="vi-VN"/>
        </w:rPr>
      </w:pPr>
      <w:r>
        <w:rPr>
          <w:szCs w:val="28"/>
          <w:lang w:val="vi-VN"/>
        </w:rPr>
        <w:tab/>
      </w:r>
      <w:r>
        <w:rPr>
          <w:b/>
          <w:szCs w:val="28"/>
          <w:lang w:val="vi-VN"/>
        </w:rPr>
        <w:t>III. HẠN CHẾ, KHUYẾT ĐIỂM VÀ NGUYÊN NHÂN</w:t>
      </w:r>
    </w:p>
    <w:p>
      <w:pPr>
        <w:spacing w:after="0" w:line="240" w:lineRule="auto"/>
        <w:ind w:firstLine="720"/>
        <w:jc w:val="both"/>
        <w:rPr>
          <w:b/>
          <w:szCs w:val="28"/>
          <w:lang w:val="vi-VN"/>
        </w:rPr>
      </w:pPr>
      <w:r>
        <w:rPr>
          <w:b/>
          <w:szCs w:val="28"/>
          <w:lang w:val="vi-VN"/>
        </w:rPr>
        <w:t>1. Hạn chế, khuyết điểm</w:t>
      </w:r>
    </w:p>
    <w:p>
      <w:pPr>
        <w:spacing w:after="0" w:line="240" w:lineRule="auto"/>
        <w:ind w:firstLine="720"/>
        <w:jc w:val="both"/>
        <w:rPr>
          <w:szCs w:val="28"/>
          <w:lang w:val="vi-VN"/>
        </w:rPr>
      </w:pPr>
      <w:r>
        <w:rPr>
          <w:szCs w:val="28"/>
          <w:lang w:val="vi-VN"/>
        </w:rPr>
        <w:t>Trong nhiệm kỳ qua, bên cạnh những kết quả đạt được, công tác chỉ đạo, điều hành của Ban Chấp hành vẫn còn những hạn chế tồn tại, thể hiện trên một số mặt sau:</w:t>
      </w:r>
    </w:p>
    <w:p>
      <w:pPr>
        <w:widowControl w:val="0"/>
        <w:spacing w:after="0" w:line="240" w:lineRule="auto"/>
        <w:ind w:right="142" w:firstLine="720"/>
        <w:jc w:val="both"/>
        <w:rPr>
          <w:lang w:val="nb-NO"/>
        </w:rPr>
      </w:pPr>
      <w:r>
        <w:rPr>
          <w:spacing w:val="2"/>
          <w:lang w:val="vi-VN"/>
        </w:rPr>
        <w:t>- Công tác lãnh đạo, chỉ đạo, điều hành của Ban chấp hành có thời điểm chưa sâu sát, chưa kịp thời; c</w:t>
      </w:r>
      <w:r>
        <w:rPr>
          <w:lang w:val="nb-NO"/>
        </w:rPr>
        <w:t>ác hoạt động của công đoàn chưa có mô hình lớn; chưa xây dựng được nhiều gương điển hình về phong trào bề nổi và các giải pháp nhân rộng để tạo sự lan tỏa rộng khắp trong toàn thể đoàn viên, các hoạt động đang chủ yếu tập trung vào các dịp cơ quan tổ chức các lễ kỷ niệm, ngày lễ</w:t>
      </w:r>
    </w:p>
    <w:p>
      <w:pPr>
        <w:spacing w:after="0" w:line="240" w:lineRule="auto"/>
        <w:ind w:firstLine="720"/>
        <w:jc w:val="both"/>
        <w:rPr>
          <w:szCs w:val="28"/>
          <w:lang w:val="nb-NO"/>
        </w:rPr>
      </w:pPr>
      <w:r>
        <w:rPr>
          <w:lang w:val="nb-NO"/>
        </w:rPr>
        <w:t xml:space="preserve">- Việc đổi mới phương thức lãnh đạo và phong cách, lề lối làm việc của Ban chấp hành đã được quan tâm, nhưng vẫn chưa đáp ứng yêu cầu. </w:t>
      </w:r>
      <w:r>
        <w:rPr>
          <w:szCs w:val="28"/>
          <w:lang w:val="vi-VN"/>
        </w:rPr>
        <w:t>Ban Chấp hành</w:t>
      </w:r>
      <w:r>
        <w:rPr>
          <w:szCs w:val="28"/>
          <w:lang w:val="nl-NL"/>
        </w:rPr>
        <w:t xml:space="preserve"> chưa sáng tạo trong công tác lãnh đạo, chỉ đạo; trong hoạt động còn thiếu sự đều tay; vai trò của tổ chức công đoàn trong thực hiện các nhiệm vụ chính trị của cơ quan có thời điểm chưa rõ nét.</w:t>
      </w:r>
    </w:p>
    <w:p>
      <w:pPr>
        <w:pStyle w:val="NormalWeb"/>
        <w:spacing w:before="0" w:beforeAutospacing="0" w:after="0" w:afterAutospacing="0"/>
        <w:ind w:firstLine="567"/>
        <w:jc w:val="both"/>
        <w:rPr>
          <w:sz w:val="28"/>
          <w:szCs w:val="28"/>
          <w:lang w:val="nl-NL"/>
        </w:rPr>
      </w:pPr>
      <w:r>
        <w:rPr>
          <w:sz w:val="28"/>
          <w:szCs w:val="28"/>
          <w:lang w:val="nl-NL"/>
        </w:rPr>
        <w:t>- Công tác xây dựng hồ sơ quản lý và tổ chức sinh hoạt theo định kỳ vẫn chưa đáp ứng yêu cầu đặt ra, thông tin đến các bộ phận công đoàn đôi lúc chưa kịp thời.</w:t>
      </w:r>
    </w:p>
    <w:p>
      <w:pPr>
        <w:pStyle w:val="NormalWeb"/>
        <w:spacing w:before="0" w:beforeAutospacing="0" w:after="0" w:afterAutospacing="0"/>
        <w:ind w:firstLine="567"/>
        <w:jc w:val="both"/>
        <w:rPr>
          <w:b/>
          <w:bCs/>
          <w:sz w:val="28"/>
          <w:szCs w:val="28"/>
          <w:lang w:val="nl-NL"/>
        </w:rPr>
      </w:pPr>
      <w:r>
        <w:rPr>
          <w:b/>
          <w:bCs/>
          <w:sz w:val="28"/>
          <w:szCs w:val="28"/>
          <w:lang w:val="nl-NL"/>
        </w:rPr>
        <w:t>2. Nguyên nhân của hạn chế, khuyết điểm</w:t>
      </w:r>
    </w:p>
    <w:p>
      <w:pPr>
        <w:pStyle w:val="NormalWeb"/>
        <w:spacing w:before="0" w:beforeAutospacing="0" w:after="0" w:afterAutospacing="0"/>
        <w:ind w:firstLine="567"/>
        <w:jc w:val="both"/>
        <w:rPr>
          <w:sz w:val="28"/>
          <w:szCs w:val="28"/>
          <w:lang w:val="vi-VN"/>
        </w:rPr>
      </w:pPr>
      <w:r>
        <w:rPr>
          <w:sz w:val="28"/>
          <w:szCs w:val="28"/>
          <w:lang w:val="vi-VN"/>
        </w:rPr>
        <w:t xml:space="preserve"> Đội ngũ Ủy viên Ban Chấp hành là kiêm nhiệm, trong khi khối lượng công việc chuyên môn lớn, yêu cầu cao nên có lúc việc triển khai chưa kịp thời, chưa đáp ứng yêu cầu đặt ra.</w:t>
      </w:r>
    </w:p>
    <w:p>
      <w:pPr>
        <w:pStyle w:val="NormalWeb"/>
        <w:spacing w:before="0" w:beforeAutospacing="0" w:after="0" w:afterAutospacing="0"/>
        <w:ind w:firstLine="567"/>
        <w:jc w:val="both"/>
        <w:rPr>
          <w:b/>
          <w:bCs/>
          <w:sz w:val="28"/>
          <w:szCs w:val="28"/>
          <w:lang w:val="vi-VN"/>
        </w:rPr>
      </w:pPr>
      <w:r>
        <w:rPr>
          <w:sz w:val="28"/>
          <w:szCs w:val="28"/>
          <w:lang w:val="vi-VN"/>
        </w:rPr>
        <w:t xml:space="preserve">Phân công trong Ban Chấp hành chưa rõ nét; năng lực BCH có lúc còn hạn chế nên chưa vận động được đoàn viên trong triển khai một số hoạt động công đoàn. </w:t>
      </w:r>
    </w:p>
    <w:p>
      <w:pPr>
        <w:pStyle w:val="NormalWeb"/>
        <w:spacing w:before="0" w:beforeAutospacing="0" w:after="0" w:afterAutospacing="0"/>
        <w:ind w:firstLine="567"/>
        <w:jc w:val="both"/>
        <w:rPr>
          <w:b/>
          <w:sz w:val="28"/>
          <w:szCs w:val="28"/>
          <w:lang w:val="vi-VN"/>
        </w:rPr>
      </w:pPr>
      <w:r>
        <w:rPr>
          <w:b/>
          <w:sz w:val="28"/>
          <w:szCs w:val="28"/>
          <w:lang w:val="vi-VN"/>
        </w:rPr>
        <w:t>IV. MỘT SỐ KINH NGHIỆM</w:t>
      </w:r>
    </w:p>
    <w:p>
      <w:pPr>
        <w:pStyle w:val="NormalWeb"/>
        <w:spacing w:before="0" w:beforeAutospacing="0" w:after="0" w:afterAutospacing="0"/>
        <w:ind w:firstLine="567"/>
        <w:jc w:val="both"/>
        <w:rPr>
          <w:sz w:val="28"/>
          <w:szCs w:val="28"/>
          <w:lang w:val="vi-VN"/>
        </w:rPr>
      </w:pPr>
      <w:r>
        <w:rPr>
          <w:sz w:val="28"/>
          <w:szCs w:val="28"/>
          <w:lang w:val="vi-VN"/>
        </w:rPr>
        <w:t>Từ kết quả đạt được và ưu điểm, hạn chế trong công tác chỉ đạo, điều hành trong nhiệm kỳ qua, Ban Chấp hành Công đoàn rút ra một số kinh nghiệm như sau:</w:t>
      </w:r>
    </w:p>
    <w:p>
      <w:pPr>
        <w:spacing w:after="0" w:line="240" w:lineRule="auto"/>
        <w:ind w:firstLine="567"/>
        <w:jc w:val="both"/>
        <w:rPr>
          <w:szCs w:val="28"/>
          <w:lang w:val="vi-VN"/>
        </w:rPr>
      </w:pPr>
      <w:r>
        <w:rPr>
          <w:b/>
          <w:i/>
          <w:szCs w:val="28"/>
          <w:lang w:val="vi-VN"/>
        </w:rPr>
        <w:t>Một là,</w:t>
      </w:r>
      <w:r>
        <w:rPr>
          <w:szCs w:val="28"/>
          <w:lang w:val="vi-VN"/>
        </w:rPr>
        <w:t xml:space="preserve"> phải nghiêm túc thực hiện tốt quy chế làm việc của Ban Chấp hành; trong các hội nghị định kỳ cần tổ chức đánh giá, kiểm điểm trách nhiệm thực hiện quy chế của Ban Chấp hành. Trong quá trình tổ chức thực hiện cần quan tâm công tác kiểm tra, đôn đốc đối với các ủy viên trong việc phân công thực hiện nghị quyết của Ban Chấp hành. </w:t>
      </w:r>
    </w:p>
    <w:p>
      <w:pPr>
        <w:spacing w:after="0" w:line="240" w:lineRule="auto"/>
        <w:ind w:firstLine="567"/>
        <w:jc w:val="both"/>
        <w:rPr>
          <w:szCs w:val="28"/>
          <w:lang w:val="vi-VN"/>
        </w:rPr>
      </w:pPr>
      <w:r>
        <w:rPr>
          <w:b/>
          <w:i/>
          <w:szCs w:val="28"/>
          <w:lang w:val="vi-VN"/>
        </w:rPr>
        <w:t>Hai là,</w:t>
      </w:r>
      <w:r>
        <w:rPr>
          <w:szCs w:val="28"/>
          <w:lang w:val="vi-VN"/>
        </w:rPr>
        <w:t xml:space="preserve"> để nâng cao chất lượng, hiệu quả hoạt động của Ban Chấp hành, mỗi ủy viên cần phải tích cực, chủ động nghiên cứu tham gia xây dựng các dự thảo chương trình, kế hoạch, đề xuất các giải pháp để thực hiện tốt các chương trình, kế hoạch của Ban Chấp hành.</w:t>
      </w:r>
    </w:p>
    <w:p>
      <w:pPr>
        <w:spacing w:after="0" w:line="240" w:lineRule="auto"/>
        <w:ind w:firstLine="567"/>
        <w:jc w:val="both"/>
        <w:rPr>
          <w:szCs w:val="28"/>
          <w:lang w:val="vi-VN"/>
        </w:rPr>
      </w:pPr>
      <w:r>
        <w:rPr>
          <w:b/>
          <w:i/>
          <w:szCs w:val="28"/>
          <w:lang w:val="vi-VN"/>
        </w:rPr>
        <w:lastRenderedPageBreak/>
        <w:t>Ba là,</w:t>
      </w:r>
      <w:r>
        <w:rPr>
          <w:szCs w:val="28"/>
          <w:lang w:val="vi-VN"/>
        </w:rPr>
        <w:t xml:space="preserve"> việc xây dựng Kế hoạch hoạt động của Ban Chấp hành phải xuất phát từ chủ trương, nghị quyết của Đảng, pháp luật của Nhà nước, phù hợp với tâm tư, nguyện vọng chính đáng của đoàn viên. Quá trình tổ chức thực hiện phải bám sát mục tiêu việc làm, đời sống và quyền dân chủ của cán bộ, công chức; lựa chọn những vấn đề bức xúc phát sinh trong thực tế để đề ra những giải pháp thực hiện.</w:t>
      </w:r>
    </w:p>
    <w:p>
      <w:pPr>
        <w:spacing w:after="0" w:line="240" w:lineRule="auto"/>
        <w:ind w:firstLine="567"/>
        <w:jc w:val="both"/>
        <w:rPr>
          <w:szCs w:val="28"/>
          <w:lang w:val="vi-VN"/>
        </w:rPr>
      </w:pPr>
      <w:r>
        <w:rPr>
          <w:b/>
          <w:i/>
          <w:szCs w:val="28"/>
          <w:lang w:val="vi-VN"/>
        </w:rPr>
        <w:t>Bốn là,</w:t>
      </w:r>
      <w:r>
        <w:rPr>
          <w:szCs w:val="28"/>
          <w:lang w:val="vi-VN"/>
        </w:rPr>
        <w:t xml:space="preserve"> Thực tiễn cho thấy, chất lượng và hiệu quả công tác điều hành, chỉ đạo phụ thuộc chủ yếu vào đội ngũ cán bộ công đoàn. Do đó cần tiếp tục thực hiện tốt công tác bồi dưỡng nhằm nâng cao chất lượng đội ngũ cán bộ công đoàn.</w:t>
      </w:r>
    </w:p>
    <w:p>
      <w:pPr>
        <w:spacing w:after="0" w:line="240" w:lineRule="auto"/>
        <w:ind w:firstLine="567"/>
        <w:jc w:val="both"/>
        <w:rPr>
          <w:szCs w:val="28"/>
          <w:lang w:val="vi-VN"/>
        </w:rPr>
      </w:pPr>
      <w:r>
        <w:rPr>
          <w:szCs w:val="28"/>
          <w:lang w:val="vi-VN"/>
        </w:rPr>
        <w:t>Ban Chấp hành Công đoàn nhiệm kỳ 2017 - 2022 đã nỗ lực chỉ đạo, điều hành phong trào thi đua và hoạt động công đoàn đúng hướng, hoàn thành cơ bản các nhiệm vụ, chỉ tiêu do Đại hội đề ra. Tuy nhiên, trong công tác chỉ đạo, điều hành của Ban Chấp hành vẫn còn những hạn chế, khuyết điểm, chưa đạt được một số chỉ tiêu do Đại hội đề ra. Với tinh thần trách nhiệm được giao trước tập thể cán bộ, đoàn viên, Ban Chấp hành nghiêm túc kiểm điểm, rút ra một số kinh nghiệm để đại hội cho ý kiến và giúp cho Ban Chấp hành Công đoàn nhiệm kỳ 2023 - 2028 nghiên cứu nhằm chỉ đạo, điều hành thực hiện tốt Nghị quyết Đại hội công đoàn nhiệm kỳ 2023 – 2028.</w:t>
      </w:r>
    </w:p>
    <w:p>
      <w:pPr>
        <w:spacing w:after="0" w:line="240" w:lineRule="auto"/>
        <w:ind w:firstLine="567"/>
        <w:jc w:val="both"/>
        <w:rPr>
          <w:szCs w:val="28"/>
          <w:lang w:val="vi-VN"/>
        </w:rPr>
      </w:pPr>
      <w:r>
        <w:rPr>
          <w:szCs w:val="28"/>
          <w:lang w:val="vi-VN"/>
        </w:rPr>
        <w:t>Ban chấp hành nhiệm kỳ 2017 - 2022 xin chân thành cảm ơn sự quan tâm và lãnh đạo, chỉ đạo của Cấp ủy, cơ quan; sự phối hợp hỗ trợ của lãnh đạo Sở, sự ủng hộ tích cực của cán bộ, đoàn viên công đoàn đã tạo điều kiện cho Ban Chấp hành công đoàn thực hiện thắng lợi Nghị quyết Đại hội nhiệm kỳ 2017 – 2022 và mong rằng trong nhiệm kỳ tới sẽ tiếp tục nhận được quan tâm và lãnh đạo, chỉ đạo của Cấp ủy; Ban Giám đốc, sự ủng hộ tích cực của cán bộ, đoàn viên công đoàn để hoạt động Công đoàn đi vào thực chất và đạt kết quả cao trong việc thực hiện Nghị quyết Đại hội Công đoàn nhiệm kỳ 2023-2028./.</w:t>
      </w:r>
    </w:p>
    <w:p>
      <w:pPr>
        <w:spacing w:before="120" w:after="120" w:line="240" w:lineRule="auto"/>
        <w:ind w:firstLine="567"/>
        <w:jc w:val="both"/>
        <w:rPr>
          <w:sz w:val="14"/>
          <w:szCs w:val="30"/>
          <w:lang w:val="vi-VN"/>
        </w:rPr>
      </w:pPr>
    </w:p>
    <w:tbl>
      <w:tblPr>
        <w:tblW w:w="0" w:type="auto"/>
        <w:tblLook w:val="01E0" w:firstRow="1" w:lastRow="1" w:firstColumn="1" w:lastColumn="1" w:noHBand="0" w:noVBand="0"/>
      </w:tblPr>
      <w:tblGrid>
        <w:gridCol w:w="1668"/>
        <w:gridCol w:w="7669"/>
      </w:tblGrid>
      <w:tr>
        <w:tc>
          <w:tcPr>
            <w:tcW w:w="1668" w:type="dxa"/>
            <w:shd w:val="clear" w:color="auto" w:fill="auto"/>
          </w:tcPr>
          <w:p>
            <w:pPr>
              <w:spacing w:after="0" w:line="240" w:lineRule="auto"/>
              <w:jc w:val="both"/>
              <w:rPr>
                <w:lang w:val="vi-VN"/>
              </w:rPr>
            </w:pPr>
          </w:p>
        </w:tc>
        <w:tc>
          <w:tcPr>
            <w:tcW w:w="7669" w:type="dxa"/>
            <w:shd w:val="clear" w:color="auto" w:fill="auto"/>
          </w:tcPr>
          <w:p>
            <w:pPr>
              <w:spacing w:after="0" w:line="240" w:lineRule="auto"/>
              <w:jc w:val="center"/>
              <w:rPr>
                <w:b/>
                <w:szCs w:val="28"/>
                <w:lang w:val="vi-VN"/>
              </w:rPr>
            </w:pPr>
            <w:r>
              <w:rPr>
                <w:b/>
                <w:szCs w:val="28"/>
                <w:lang w:val="vi-VN"/>
              </w:rPr>
              <w:t xml:space="preserve">            BAN CHẤP HÀNH CÔNG ĐOÀN CS SỞ NGOẠI VỤ</w:t>
            </w:r>
          </w:p>
          <w:p>
            <w:pPr>
              <w:spacing w:after="0" w:line="240" w:lineRule="auto"/>
              <w:jc w:val="center"/>
              <w:rPr>
                <w:b/>
                <w:szCs w:val="28"/>
                <w:lang w:val="vi-VN"/>
              </w:rPr>
            </w:pPr>
          </w:p>
        </w:tc>
      </w:tr>
    </w:tbl>
    <w:p>
      <w:pPr>
        <w:spacing w:after="0" w:line="240" w:lineRule="auto"/>
        <w:jc w:val="center"/>
        <w:rPr>
          <w:lang w:val="vi-VN"/>
        </w:rPr>
      </w:pPr>
    </w:p>
    <w:sectPr>
      <w:headerReference w:type="default" r:id="rId8"/>
      <w:footerReference w:type="default" r:id="rId9"/>
      <w:pgSz w:w="11907" w:h="16840" w:code="9"/>
      <w:pgMar w:top="1077" w:right="851" w:bottom="1077"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A3"/>
    <w:family w:val="swiss"/>
    <w:pitch w:val="variable"/>
    <w:sig w:usb0="20000287" w:usb1="00000000" w:usb2="00000000" w:usb3="00000000" w:csb0="0000019F" w:csb1="00000000"/>
  </w:font>
  <w:font w:name=".VnCentury Schoolbook">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21002A87" w:usb1="80000000" w:usb2="00000008"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0237"/>
      <w:docPartObj>
        <w:docPartGallery w:val="Page Numbers (Top of Page)"/>
        <w:docPartUnique/>
      </w:docPartObj>
    </w:sdtPr>
    <w:sdtContent>
      <w:p>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qFormat/>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 Char Char,Footnote Text Char Char Char Char Char Char Ch Char Char,fn,Footnote Text Char Char Char Char Char Char Ch,single space,footnote text,C"/>
    <w:basedOn w:val="Normal"/>
    <w:link w:val="FootnoteTextChar"/>
    <w:unhideWhenUsed/>
    <w:qFormat/>
    <w:pPr>
      <w:spacing w:after="120" w:line="240" w:lineRule="auto"/>
      <w:ind w:firstLine="720"/>
      <w:jc w:val="both"/>
    </w:pPr>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1,fn Char,Footnote Text Char Char Char Char Char Char Ch Char"/>
    <w:basedOn w:val="DefaultParagraphFont"/>
    <w:link w:val="FootnoteText"/>
    <w:rPr>
      <w:sz w:val="20"/>
      <w:szCs w:val="20"/>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basedOn w:val="DefaultParagraphFont"/>
    <w:unhideWhenUsed/>
    <w:qFormat/>
    <w:rPr>
      <w:vertAlign w:val="superscrip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pPr>
      <w:widowControl w:val="0"/>
      <w:suppressAutoHyphens/>
      <w:spacing w:after="120" w:line="240" w:lineRule="auto"/>
    </w:pPr>
    <w:rPr>
      <w:rFonts w:eastAsia="Lucida Sans Unicode" w:cs="Times New Roman"/>
      <w:kern w:val="2"/>
      <w:szCs w:val="24"/>
    </w:rPr>
  </w:style>
  <w:style w:type="character" w:customStyle="1" w:styleId="BodyTextChar">
    <w:name w:val="Body Text Char"/>
    <w:basedOn w:val="DefaultParagraphFont"/>
    <w:link w:val="BodyText"/>
    <w:rPr>
      <w:rFonts w:eastAsia="Lucida Sans Unicode" w:cs="Times New Roman"/>
      <w:kern w:val="2"/>
      <w:szCs w:val="24"/>
    </w:rPr>
  </w:style>
  <w:style w:type="paragraph" w:customStyle="1" w:styleId="Char">
    <w:name w:val="Char"/>
    <w:basedOn w:val="Normal"/>
    <w:pPr>
      <w:spacing w:after="160" w:line="240" w:lineRule="exact"/>
    </w:pPr>
    <w:rPr>
      <w:rFonts w:ascii="Verdana" w:eastAsia="Times New Roman" w:hAnsi="Verdana" w:cs="Times New Roman"/>
      <w:sz w:val="20"/>
      <w:szCs w:val="28"/>
    </w:rPr>
  </w:style>
  <w:style w:type="paragraph" w:styleId="NormalWeb">
    <w:name w:val="Normal (Web)"/>
    <w:basedOn w:val="Normal"/>
    <w:link w:val="NormalWebChar"/>
    <w:uiPriority w:val="99"/>
    <w:pPr>
      <w:spacing w:before="100" w:beforeAutospacing="1" w:after="100" w:afterAutospacing="1" w:line="240" w:lineRule="auto"/>
    </w:pPr>
    <w:rPr>
      <w:rFonts w:eastAsia="Times New Roman" w:cs="Times New Roman"/>
      <w:sz w:val="24"/>
      <w:szCs w:val="24"/>
    </w:rPr>
  </w:style>
  <w:style w:type="paragraph" w:customStyle="1" w:styleId="Body">
    <w:name w:val="Body"/>
    <w:basedOn w:val="Normal"/>
    <w:pPr>
      <w:widowControl w:val="0"/>
      <w:spacing w:before="120" w:after="120" w:line="264" w:lineRule="auto"/>
      <w:ind w:firstLine="720"/>
      <w:jc w:val="both"/>
    </w:pPr>
    <w:rPr>
      <w:rFonts w:ascii=".VnCentury Schoolbook" w:eastAsia="Calibri" w:hAnsi=".VnCentury Schoolbook" w:cs="Times New Roman"/>
      <w:sz w:val="26"/>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rPr>
      <w:rFonts w:eastAsia="Times New Roman" w:cs="Times New Roman"/>
      <w:b/>
      <w:bCs/>
      <w:sz w:val="27"/>
      <w:szCs w:val="27"/>
    </w:rPr>
  </w:style>
  <w:style w:type="paragraph" w:styleId="NoSpacing">
    <w:name w:val="No Spacing"/>
    <w:aliases w:val="Soạn thảo"/>
    <w:basedOn w:val="Normal"/>
    <w:link w:val="NoSpacingChar"/>
    <w:autoRedefine/>
    <w:qFormat/>
    <w:pPr>
      <w:spacing w:after="120" w:line="240" w:lineRule="auto"/>
      <w:ind w:firstLine="720"/>
      <w:jc w:val="both"/>
    </w:pPr>
  </w:style>
  <w:style w:type="character" w:customStyle="1" w:styleId="NoSpacingChar">
    <w:name w:val="No Spacing Char"/>
    <w:aliases w:val="Soạn thảo Char"/>
    <w:basedOn w:val="DefaultParagraphFont"/>
    <w:link w:val="NoSpacing"/>
  </w:style>
  <w:style w:type="character" w:customStyle="1" w:styleId="NormalWebChar">
    <w:name w:val="Normal (Web) Char"/>
    <w:link w:val="NormalWeb"/>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qFormat/>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 Char Char,Footnote Text Char Char Char Char Char Char Ch Char Char,fn,Footnote Text Char Char Char Char Char Char Ch,single space,footnote text,C"/>
    <w:basedOn w:val="Normal"/>
    <w:link w:val="FootnoteTextChar"/>
    <w:unhideWhenUsed/>
    <w:qFormat/>
    <w:pPr>
      <w:spacing w:after="120" w:line="240" w:lineRule="auto"/>
      <w:ind w:firstLine="720"/>
      <w:jc w:val="both"/>
    </w:pPr>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1,fn Char,Footnote Text Char Char Char Char Char Char Ch Char"/>
    <w:basedOn w:val="DefaultParagraphFont"/>
    <w:link w:val="FootnoteText"/>
    <w:rPr>
      <w:sz w:val="20"/>
      <w:szCs w:val="20"/>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basedOn w:val="DefaultParagraphFont"/>
    <w:unhideWhenUsed/>
    <w:qFormat/>
    <w:rPr>
      <w:vertAlign w:val="superscrip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pPr>
      <w:widowControl w:val="0"/>
      <w:suppressAutoHyphens/>
      <w:spacing w:after="120" w:line="240" w:lineRule="auto"/>
    </w:pPr>
    <w:rPr>
      <w:rFonts w:eastAsia="Lucida Sans Unicode" w:cs="Times New Roman"/>
      <w:kern w:val="2"/>
      <w:szCs w:val="24"/>
    </w:rPr>
  </w:style>
  <w:style w:type="character" w:customStyle="1" w:styleId="BodyTextChar">
    <w:name w:val="Body Text Char"/>
    <w:basedOn w:val="DefaultParagraphFont"/>
    <w:link w:val="BodyText"/>
    <w:rPr>
      <w:rFonts w:eastAsia="Lucida Sans Unicode" w:cs="Times New Roman"/>
      <w:kern w:val="2"/>
      <w:szCs w:val="24"/>
    </w:rPr>
  </w:style>
  <w:style w:type="paragraph" w:customStyle="1" w:styleId="Char">
    <w:name w:val="Char"/>
    <w:basedOn w:val="Normal"/>
    <w:pPr>
      <w:spacing w:after="160" w:line="240" w:lineRule="exact"/>
    </w:pPr>
    <w:rPr>
      <w:rFonts w:ascii="Verdana" w:eastAsia="Times New Roman" w:hAnsi="Verdana" w:cs="Times New Roman"/>
      <w:sz w:val="20"/>
      <w:szCs w:val="28"/>
    </w:rPr>
  </w:style>
  <w:style w:type="paragraph" w:styleId="NormalWeb">
    <w:name w:val="Normal (Web)"/>
    <w:basedOn w:val="Normal"/>
    <w:link w:val="NormalWebChar"/>
    <w:uiPriority w:val="99"/>
    <w:pPr>
      <w:spacing w:before="100" w:beforeAutospacing="1" w:after="100" w:afterAutospacing="1" w:line="240" w:lineRule="auto"/>
    </w:pPr>
    <w:rPr>
      <w:rFonts w:eastAsia="Times New Roman" w:cs="Times New Roman"/>
      <w:sz w:val="24"/>
      <w:szCs w:val="24"/>
    </w:rPr>
  </w:style>
  <w:style w:type="paragraph" w:customStyle="1" w:styleId="Body">
    <w:name w:val="Body"/>
    <w:basedOn w:val="Normal"/>
    <w:pPr>
      <w:widowControl w:val="0"/>
      <w:spacing w:before="120" w:after="120" w:line="264" w:lineRule="auto"/>
      <w:ind w:firstLine="720"/>
      <w:jc w:val="both"/>
    </w:pPr>
    <w:rPr>
      <w:rFonts w:ascii=".VnCentury Schoolbook" w:eastAsia="Calibri" w:hAnsi=".VnCentury Schoolbook" w:cs="Times New Roman"/>
      <w:sz w:val="26"/>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rPr>
      <w:rFonts w:eastAsia="Times New Roman" w:cs="Times New Roman"/>
      <w:b/>
      <w:bCs/>
      <w:sz w:val="27"/>
      <w:szCs w:val="27"/>
    </w:rPr>
  </w:style>
  <w:style w:type="paragraph" w:styleId="NoSpacing">
    <w:name w:val="No Spacing"/>
    <w:aliases w:val="Soạn thảo"/>
    <w:basedOn w:val="Normal"/>
    <w:link w:val="NoSpacingChar"/>
    <w:autoRedefine/>
    <w:qFormat/>
    <w:pPr>
      <w:spacing w:after="120" w:line="240" w:lineRule="auto"/>
      <w:ind w:firstLine="720"/>
      <w:jc w:val="both"/>
    </w:pPr>
  </w:style>
  <w:style w:type="character" w:customStyle="1" w:styleId="NoSpacingChar">
    <w:name w:val="No Spacing Char"/>
    <w:aliases w:val="Soạn thảo Char"/>
    <w:basedOn w:val="DefaultParagraphFont"/>
    <w:link w:val="NoSpacing"/>
  </w:style>
  <w:style w:type="character" w:customStyle="1" w:styleId="NormalWebChar">
    <w:name w:val="Normal (Web) Char"/>
    <w:link w:val="NormalWeb"/>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44327">
      <w:bodyDiv w:val="1"/>
      <w:marLeft w:val="0"/>
      <w:marRight w:val="0"/>
      <w:marTop w:val="0"/>
      <w:marBottom w:val="0"/>
      <w:divBdr>
        <w:top w:val="none" w:sz="0" w:space="0" w:color="auto"/>
        <w:left w:val="none" w:sz="0" w:space="0" w:color="auto"/>
        <w:bottom w:val="none" w:sz="0" w:space="0" w:color="auto"/>
        <w:right w:val="none" w:sz="0" w:space="0" w:color="auto"/>
      </w:divBdr>
    </w:div>
    <w:div w:id="327102367">
      <w:bodyDiv w:val="1"/>
      <w:marLeft w:val="0"/>
      <w:marRight w:val="0"/>
      <w:marTop w:val="0"/>
      <w:marBottom w:val="0"/>
      <w:divBdr>
        <w:top w:val="none" w:sz="0" w:space="0" w:color="auto"/>
        <w:left w:val="none" w:sz="0" w:space="0" w:color="auto"/>
        <w:bottom w:val="none" w:sz="0" w:space="0" w:color="auto"/>
        <w:right w:val="none" w:sz="0" w:space="0" w:color="auto"/>
      </w:divBdr>
    </w:div>
    <w:div w:id="954025406">
      <w:bodyDiv w:val="1"/>
      <w:marLeft w:val="0"/>
      <w:marRight w:val="0"/>
      <w:marTop w:val="0"/>
      <w:marBottom w:val="0"/>
      <w:divBdr>
        <w:top w:val="none" w:sz="0" w:space="0" w:color="auto"/>
        <w:left w:val="none" w:sz="0" w:space="0" w:color="auto"/>
        <w:bottom w:val="none" w:sz="0" w:space="0" w:color="auto"/>
        <w:right w:val="none" w:sz="0" w:space="0" w:color="auto"/>
      </w:divBdr>
    </w:div>
    <w:div w:id="1145505985">
      <w:bodyDiv w:val="1"/>
      <w:marLeft w:val="0"/>
      <w:marRight w:val="0"/>
      <w:marTop w:val="0"/>
      <w:marBottom w:val="0"/>
      <w:divBdr>
        <w:top w:val="none" w:sz="0" w:space="0" w:color="auto"/>
        <w:left w:val="none" w:sz="0" w:space="0" w:color="auto"/>
        <w:bottom w:val="none" w:sz="0" w:space="0" w:color="auto"/>
        <w:right w:val="none" w:sz="0" w:space="0" w:color="auto"/>
      </w:divBdr>
    </w:div>
    <w:div w:id="179058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7951C-67CC-44F9-92D1-30837F172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1486</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Vanxuan</cp:lastModifiedBy>
  <cp:revision>3</cp:revision>
  <cp:lastPrinted>2023-01-08T09:03:00Z</cp:lastPrinted>
  <dcterms:created xsi:type="dcterms:W3CDTF">2023-03-24T08:09:00Z</dcterms:created>
  <dcterms:modified xsi:type="dcterms:W3CDTF">2023-03-24T08:10:00Z</dcterms:modified>
</cp:coreProperties>
</file>